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Pr>
                <w:rFonts w:asciiTheme="majorHAnsi" w:hAnsiTheme="majorHAnsi" w:cs="Arial"/>
                <w:b/>
                <w:sz w:val="18"/>
                <w:szCs w:val="18"/>
              </w:rPr>
              <w:t>Znanstveni pristup javnozdravstvenim problemima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3</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10</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result w:val="1"/>
                          <w:listEntry w:val="Obavezni  "/>
                          <w:listEntry w:val="Izborni  "/>
                        </w:ddList>
                      </w:ffData>
                    </w:fldChar>
                  </w:r>
                  <w:r w:rsidR="00FB48B6" w:rsidRPr="00B96B4F">
                    <w:rPr>
                      <w:rFonts w:asciiTheme="majorHAnsi" w:hAnsiTheme="majorHAnsi" w:cs="Arial"/>
                      <w:b/>
                      <w:sz w:val="18"/>
                      <w:szCs w:val="18"/>
                    </w:rPr>
                    <w:instrText xml:space="preserve"> FORMDROPDOWN </w:instrText>
                  </w:r>
                  <w:r w:rsidR="0054667E" w:rsidRPr="00B96B4F">
                    <w:rPr>
                      <w:rFonts w:asciiTheme="majorHAnsi" w:hAnsiTheme="majorHAnsi" w:cs="Arial"/>
                      <w:b/>
                      <w:sz w:val="18"/>
                      <w:szCs w:val="18"/>
                    </w:rPr>
                  </w:r>
                  <w:r w:rsidR="00EE2B63">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54667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Pr>
                <w:rFonts w:asciiTheme="majorHAnsi" w:hAnsiTheme="majorHAnsi"/>
                <w:b/>
                <w:sz w:val="18"/>
                <w:szCs w:val="18"/>
              </w:rPr>
              <w:t>1</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19690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96903">
              <w:rPr>
                <w:rFonts w:asciiTheme="majorHAnsi" w:hAnsiTheme="majorHAnsi" w:cs="Arial"/>
                <w:b/>
                <w:sz w:val="18"/>
                <w:szCs w:val="18"/>
              </w:rPr>
              <w:t>1</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b/>
                <w:sz w:val="18"/>
                <w:szCs w:val="18"/>
              </w:rPr>
              <w:t>2</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06CE1">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sidRPr="00B45B1B">
              <w:rPr>
                <w:rFonts w:asciiTheme="majorHAnsi" w:hAnsiTheme="majorHAnsi" w:cs="Arial"/>
                <w:b/>
                <w:sz w:val="18"/>
                <w:szCs w:val="18"/>
              </w:rPr>
              <w:t>Doktorski studij Biomedicina i zdravstvo</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 xml:space="preserve">dr.sc. </w:t>
            </w:r>
            <w:r w:rsidR="0054667E">
              <w:rPr>
                <w:rFonts w:asciiTheme="majorHAnsi" w:hAnsiTheme="majorHAnsi" w:cs="Arial"/>
                <w:b/>
                <w:sz w:val="18"/>
                <w:szCs w:val="18"/>
              </w:rPr>
              <w:t>Olivera Batić Mujanović</w:t>
            </w:r>
            <w:r w:rsidR="00B45B1B">
              <w:rPr>
                <w:rFonts w:asciiTheme="majorHAnsi" w:hAnsiTheme="majorHAnsi" w:cs="Arial"/>
                <w:b/>
                <w:sz w:val="18"/>
                <w:szCs w:val="18"/>
              </w:rPr>
              <w:t>, redovni profesor</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sidRPr="0054667E">
              <w:rPr>
                <w:rFonts w:asciiTheme="majorHAnsi" w:hAnsiTheme="majorHAnsi" w:cs="Arial"/>
                <w:b/>
                <w:sz w:val="18"/>
                <w:szCs w:val="18"/>
              </w:rPr>
              <w:t>Cilj nastavnog predmeta „Znanstveni pristup javnozdravstvenim problemima“ je upoznavanje studenata doktorskog studija sa savremenim istraživanjima u oblasti Javnog zdravstva.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sidRPr="0054667E">
              <w:rPr>
                <w:rFonts w:asciiTheme="majorHAnsi" w:hAnsiTheme="majorHAnsi" w:cs="Arial"/>
                <w:b/>
                <w:sz w:val="18"/>
                <w:szCs w:val="18"/>
              </w:rPr>
              <w:t>Studenti će biti dobro osposobljeni za realizaciju istraživačkih projekata i naučnih istraživanja iz oblasti Javnog zdravstva.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4667E" w:rsidRPr="0054667E"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sidRPr="0054667E">
              <w:rPr>
                <w:rFonts w:asciiTheme="majorHAnsi" w:hAnsiTheme="majorHAnsi" w:cs="Arial"/>
                <w:b/>
                <w:sz w:val="18"/>
                <w:szCs w:val="18"/>
              </w:rPr>
              <w:t xml:space="preserve">Modul 1. </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Medicina zasnovana na dokazima (randomizirane kontrolirane studije, meta-analize, sistematski pregled, revijalni članak)</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Zdravlje i demografske promjene</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 xml:space="preserve">Epidemiologija u savremenim istraživanjima u javnom zdravstvu </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Metodologija epidemioloških  istraživanja</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Istraživanja u savremenom javnom zdravstvu</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Izbor populacijskih skupina u javnozdravstvenim istraživanjima</w:t>
            </w:r>
          </w:p>
          <w:p w:rsidR="0054667E" w:rsidRPr="0054667E" w:rsidRDefault="0054667E" w:rsidP="0054667E">
            <w:pPr>
              <w:pStyle w:val="NoSpacing"/>
              <w:rPr>
                <w:rFonts w:asciiTheme="majorHAnsi" w:hAnsiTheme="majorHAnsi" w:cs="Arial"/>
                <w:b/>
                <w:sz w:val="18"/>
                <w:szCs w:val="18"/>
              </w:rPr>
            </w:pP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Modul 2.</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Promocija zdravlja</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Prevencija hroničnih nezaraznih bolesti</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 xml:space="preserve">Javnozdravstveni značaj prevencije kardiovaskularnih bolesti i diabetes mellitusa    </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 xml:space="preserve">Psihosocijalni faktori i mentalno zdravlje; Javnozdravstveni značaj edukacije adolescenata; Demencija </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Nasilje na radnom mjestu</w:t>
            </w:r>
          </w:p>
          <w:p w:rsidR="00CB72ED" w:rsidRPr="00B96B4F"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Arozagađenje</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4667E"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sidRPr="0054667E">
              <w:rPr>
                <w:rFonts w:asciiTheme="majorHAnsi" w:hAnsiTheme="majorHAnsi" w:cs="Arial"/>
                <w:b/>
                <w:sz w:val="18"/>
                <w:szCs w:val="18"/>
              </w:rPr>
              <w:t>Planirane su sljedeće aktivnosti uspješnog učenja: konkretno iskustvo, promatranje i promišljanje. Kao stilovi učenja preferiraju se: vizuelni, auditivni, verbalni, samostalni. Najznačanija metoda učenja su:</w:t>
            </w:r>
          </w:p>
          <w:p w:rsidR="00CB72ED" w:rsidRPr="00B96B4F" w:rsidRDefault="0054667E" w:rsidP="0054667E">
            <w:pPr>
              <w:pStyle w:val="NoSpacing"/>
              <w:rPr>
                <w:rFonts w:asciiTheme="majorHAnsi" w:hAnsiTheme="majorHAnsi" w:cs="Arial"/>
                <w:b/>
                <w:sz w:val="18"/>
                <w:szCs w:val="18"/>
              </w:rPr>
            </w:pPr>
            <w:r>
              <w:rPr>
                <w:rFonts w:asciiTheme="majorHAnsi" w:hAnsiTheme="majorHAnsi" w:cs="Arial"/>
                <w:b/>
                <w:sz w:val="18"/>
                <w:szCs w:val="18"/>
              </w:rPr>
              <w:t>-</w:t>
            </w:r>
            <w:r w:rsidRPr="0054667E">
              <w:rPr>
                <w:rFonts w:asciiTheme="majorHAnsi" w:hAnsiTheme="majorHAnsi" w:cs="Arial"/>
                <w:b/>
                <w:sz w:val="18"/>
                <w:szCs w:val="18"/>
              </w:rPr>
              <w:t>Predavanja uz upotrebu multimedijalnih sredstava, tehnika aktivnog učenja: prikazi istraživanja sa aktivnim učešćem i diskusijom studenata.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54667E" w:rsidRPr="0054667E" w:rsidRDefault="00D05D23" w:rsidP="0054667E">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sidRPr="0054667E">
              <w:rPr>
                <w:rFonts w:asciiTheme="majorHAnsi" w:hAnsiTheme="majorHAnsi" w:cs="Arial"/>
                <w:b/>
                <w:sz w:val="18"/>
                <w:szCs w:val="18"/>
              </w:rPr>
              <w:t xml:space="preserve">Ispit je u usmenoj ili pismenoj formi. </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Modul 1.   40 bodova (minimalno 22)</w:t>
            </w: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Mudul 2.  50 bodova (minimalno 28)</w:t>
            </w:r>
          </w:p>
          <w:p w:rsidR="0054667E" w:rsidRPr="0054667E" w:rsidRDefault="0054667E" w:rsidP="0054667E">
            <w:pPr>
              <w:pStyle w:val="NoSpacing"/>
              <w:rPr>
                <w:rFonts w:asciiTheme="majorHAnsi" w:hAnsiTheme="majorHAnsi" w:cs="Arial"/>
                <w:b/>
                <w:sz w:val="18"/>
                <w:szCs w:val="18"/>
              </w:rPr>
            </w:pPr>
          </w:p>
          <w:p w:rsidR="0054667E" w:rsidRPr="0054667E"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U okviru Modula 1. studenti doktorskog studija trebaju da urade analizu primarne publikacije (naučnog članka) iz oblasti Javnog zdravstva sa sljedećim elementima:  naslov članka, vrsta članka, dizajn istraživanja analiziranog članka, snaga dokaza istraživanog članka, naučne činjenice do kojih se došlo analizom članka. Analiza primarne publikcije polaže  se usmeno ili pismeno. Maksimalan broj bodova koje student može ostvariti  je 40 bodova, minimalno 22 boda.</w:t>
            </w:r>
          </w:p>
          <w:p w:rsidR="0054667E" w:rsidRPr="0054667E" w:rsidRDefault="0054667E" w:rsidP="0054667E">
            <w:pPr>
              <w:pStyle w:val="NoSpacing"/>
              <w:rPr>
                <w:rFonts w:asciiTheme="majorHAnsi" w:hAnsiTheme="majorHAnsi" w:cs="Arial"/>
                <w:b/>
                <w:sz w:val="18"/>
                <w:szCs w:val="18"/>
              </w:rPr>
            </w:pPr>
          </w:p>
          <w:p w:rsidR="00CB72ED" w:rsidRPr="00B96B4F" w:rsidRDefault="0054667E" w:rsidP="0054667E">
            <w:pPr>
              <w:pStyle w:val="NoSpacing"/>
              <w:rPr>
                <w:rFonts w:asciiTheme="majorHAnsi" w:hAnsiTheme="majorHAnsi" w:cs="Arial"/>
                <w:b/>
                <w:sz w:val="18"/>
                <w:szCs w:val="18"/>
              </w:rPr>
            </w:pPr>
            <w:r w:rsidRPr="0054667E">
              <w:rPr>
                <w:rFonts w:asciiTheme="majorHAnsi" w:hAnsiTheme="majorHAnsi" w:cs="Arial"/>
                <w:b/>
                <w:sz w:val="18"/>
                <w:szCs w:val="18"/>
              </w:rPr>
              <w:t>U  okviru Modula 2. studenti  doktorskog  studija trebaju da urade prijedlog radnog projekta doktorske disertacije iz oblasti Javnog zdravstva sa sljedećim elementima:  naziv  teme,  kratak uvodni dio (teoretska osnova istraživanja), ciljevi istraživanja, istraživačke hipoteze  (radne i nulte), metodologija istraživanja (ispitanici, metode, statistička obrada podataka) i očekivani rezultati i doprinos istraživanja. Prijedlog radnog projekta doktorske disertacije polaže se usmeno ili pismeno. Maksimalan broj bodova koje student može da ostvari je 50 bodova, minimalno 28 boda.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196903" w:rsidRPr="00196903" w:rsidRDefault="00D05D23" w:rsidP="0019690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96903" w:rsidRPr="00196903">
              <w:rPr>
                <w:rFonts w:asciiTheme="majorHAnsi" w:hAnsiTheme="majorHAnsi" w:cs="Arial"/>
                <w:b/>
                <w:sz w:val="18"/>
                <w:szCs w:val="18"/>
              </w:rPr>
              <w:t>Obaveze studenata</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 xml:space="preserve">  Prisustvo predavanjima</w:t>
            </w:r>
            <w:r w:rsidRPr="00196903">
              <w:rPr>
                <w:rFonts w:asciiTheme="majorHAnsi" w:hAnsiTheme="majorHAnsi" w:cs="Arial"/>
                <w:b/>
                <w:sz w:val="18"/>
                <w:szCs w:val="18"/>
              </w:rPr>
              <w:tab/>
              <w:t xml:space="preserve"> 10 bodova</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 xml:space="preserve">    Modul 1 - </w:t>
            </w:r>
            <w:r w:rsidR="0054667E">
              <w:rPr>
                <w:rFonts w:asciiTheme="majorHAnsi" w:hAnsiTheme="majorHAnsi" w:cs="Arial"/>
                <w:b/>
                <w:sz w:val="18"/>
                <w:szCs w:val="18"/>
              </w:rPr>
              <w:t>40</w:t>
            </w:r>
            <w:r w:rsidRPr="00196903">
              <w:rPr>
                <w:rFonts w:asciiTheme="majorHAnsi" w:hAnsiTheme="majorHAnsi" w:cs="Arial"/>
                <w:b/>
                <w:sz w:val="18"/>
                <w:szCs w:val="18"/>
              </w:rPr>
              <w:t xml:space="preserve"> bodova (minimalno </w:t>
            </w:r>
            <w:r w:rsidR="0054667E">
              <w:rPr>
                <w:rFonts w:asciiTheme="majorHAnsi" w:hAnsiTheme="majorHAnsi" w:cs="Arial"/>
                <w:b/>
                <w:sz w:val="18"/>
                <w:szCs w:val="18"/>
              </w:rPr>
              <w:t>22</w:t>
            </w:r>
            <w:r w:rsidRPr="00196903">
              <w:rPr>
                <w:rFonts w:asciiTheme="majorHAnsi" w:hAnsiTheme="majorHAnsi" w:cs="Arial"/>
                <w:b/>
                <w:sz w:val="18"/>
                <w:szCs w:val="18"/>
              </w:rPr>
              <w:t xml:space="preserve">)       </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 xml:space="preserve">    Mudul 2 - 5</w:t>
            </w:r>
            <w:r w:rsidR="0054667E">
              <w:rPr>
                <w:rFonts w:asciiTheme="majorHAnsi" w:hAnsiTheme="majorHAnsi" w:cs="Arial"/>
                <w:b/>
                <w:sz w:val="18"/>
                <w:szCs w:val="18"/>
              </w:rPr>
              <w:t>0</w:t>
            </w:r>
            <w:r w:rsidRPr="00196903">
              <w:rPr>
                <w:rFonts w:asciiTheme="majorHAnsi" w:hAnsiTheme="majorHAnsi" w:cs="Arial"/>
                <w:b/>
                <w:sz w:val="18"/>
                <w:szCs w:val="18"/>
              </w:rPr>
              <w:t xml:space="preserve"> bodova (minimalno </w:t>
            </w:r>
            <w:r w:rsidR="0054667E">
              <w:rPr>
                <w:rFonts w:asciiTheme="majorHAnsi" w:hAnsiTheme="majorHAnsi" w:cs="Arial"/>
                <w:b/>
                <w:sz w:val="18"/>
                <w:szCs w:val="18"/>
              </w:rPr>
              <w:t>2</w:t>
            </w:r>
            <w:r w:rsidRPr="00196903">
              <w:rPr>
                <w:rFonts w:asciiTheme="majorHAnsi" w:hAnsiTheme="majorHAnsi" w:cs="Arial"/>
                <w:b/>
                <w:sz w:val="18"/>
                <w:szCs w:val="18"/>
              </w:rPr>
              <w:t xml:space="preserve">8) </w:t>
            </w:r>
          </w:p>
          <w:p w:rsidR="00196903" w:rsidRPr="00196903" w:rsidRDefault="00196903" w:rsidP="00196903">
            <w:pPr>
              <w:pStyle w:val="NoSpacing"/>
              <w:rPr>
                <w:rFonts w:asciiTheme="majorHAnsi" w:hAnsiTheme="majorHAnsi" w:cs="Arial"/>
                <w:b/>
                <w:sz w:val="18"/>
                <w:szCs w:val="18"/>
              </w:rPr>
            </w:pPr>
          </w:p>
          <w:p w:rsidR="00196903" w:rsidRDefault="00196903" w:rsidP="00196903">
            <w:pPr>
              <w:pStyle w:val="NoSpacing"/>
              <w:rPr>
                <w:rFonts w:asciiTheme="majorHAnsi" w:hAnsiTheme="majorHAnsi" w:cs="Arial"/>
                <w:b/>
                <w:sz w:val="18"/>
                <w:szCs w:val="18"/>
              </w:rPr>
            </w:pP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Broj bodova Konačna ocjena</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0-54</w:t>
            </w:r>
            <w:r w:rsidRPr="00196903">
              <w:rPr>
                <w:rFonts w:asciiTheme="majorHAnsi" w:hAnsiTheme="majorHAnsi" w:cs="Arial"/>
                <w:b/>
                <w:sz w:val="18"/>
                <w:szCs w:val="18"/>
              </w:rPr>
              <w:tab/>
              <w:t>Pet (5)</w:t>
            </w:r>
            <w:r w:rsidRPr="00196903">
              <w:rPr>
                <w:rFonts w:asciiTheme="majorHAnsi" w:hAnsiTheme="majorHAnsi" w:cs="Arial"/>
                <w:b/>
                <w:sz w:val="18"/>
                <w:szCs w:val="18"/>
              </w:rPr>
              <w:tab/>
              <w:t>F</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55-64</w:t>
            </w:r>
            <w:r w:rsidRPr="00196903">
              <w:rPr>
                <w:rFonts w:asciiTheme="majorHAnsi" w:hAnsiTheme="majorHAnsi" w:cs="Arial"/>
                <w:b/>
                <w:sz w:val="18"/>
                <w:szCs w:val="18"/>
              </w:rPr>
              <w:tab/>
              <w:t>Šest (6)</w:t>
            </w:r>
            <w:r w:rsidRPr="00196903">
              <w:rPr>
                <w:rFonts w:asciiTheme="majorHAnsi" w:hAnsiTheme="majorHAnsi" w:cs="Arial"/>
                <w:b/>
                <w:sz w:val="18"/>
                <w:szCs w:val="18"/>
              </w:rPr>
              <w:tab/>
              <w:t>E</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65-74</w:t>
            </w:r>
            <w:r w:rsidRPr="00196903">
              <w:rPr>
                <w:rFonts w:asciiTheme="majorHAnsi" w:hAnsiTheme="majorHAnsi" w:cs="Arial"/>
                <w:b/>
                <w:sz w:val="18"/>
                <w:szCs w:val="18"/>
              </w:rPr>
              <w:tab/>
              <w:t>Sedam (7)</w:t>
            </w:r>
            <w:r>
              <w:rPr>
                <w:rFonts w:asciiTheme="majorHAnsi" w:hAnsiTheme="majorHAnsi" w:cs="Arial"/>
                <w:b/>
                <w:sz w:val="18"/>
                <w:szCs w:val="18"/>
              </w:rPr>
              <w:t xml:space="preserve"> </w:t>
            </w:r>
            <w:r w:rsidRPr="00196903">
              <w:rPr>
                <w:rFonts w:asciiTheme="majorHAnsi" w:hAnsiTheme="majorHAnsi" w:cs="Arial"/>
                <w:b/>
                <w:sz w:val="18"/>
                <w:szCs w:val="18"/>
              </w:rPr>
              <w:t>D</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75-84</w:t>
            </w:r>
            <w:r w:rsidRPr="00196903">
              <w:rPr>
                <w:rFonts w:asciiTheme="majorHAnsi" w:hAnsiTheme="majorHAnsi" w:cs="Arial"/>
                <w:b/>
                <w:sz w:val="18"/>
                <w:szCs w:val="18"/>
              </w:rPr>
              <w:tab/>
              <w:t>Osam (8)</w:t>
            </w:r>
            <w:r>
              <w:rPr>
                <w:rFonts w:asciiTheme="majorHAnsi" w:hAnsiTheme="majorHAnsi" w:cs="Arial"/>
                <w:b/>
                <w:sz w:val="18"/>
                <w:szCs w:val="18"/>
              </w:rPr>
              <w:t xml:space="preserve"> </w:t>
            </w:r>
            <w:r w:rsidRPr="00196903">
              <w:rPr>
                <w:rFonts w:asciiTheme="majorHAnsi" w:hAnsiTheme="majorHAnsi" w:cs="Arial"/>
                <w:b/>
                <w:sz w:val="18"/>
                <w:szCs w:val="18"/>
              </w:rPr>
              <w:t>C</w:t>
            </w:r>
          </w:p>
          <w:p w:rsidR="00196903" w:rsidRPr="00196903"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85-94</w:t>
            </w:r>
            <w:r w:rsidRPr="00196903">
              <w:rPr>
                <w:rFonts w:asciiTheme="majorHAnsi" w:hAnsiTheme="majorHAnsi" w:cs="Arial"/>
                <w:b/>
                <w:sz w:val="18"/>
                <w:szCs w:val="18"/>
              </w:rPr>
              <w:tab/>
              <w:t>Devet (9)</w:t>
            </w:r>
            <w:r>
              <w:rPr>
                <w:rFonts w:asciiTheme="majorHAnsi" w:hAnsiTheme="majorHAnsi" w:cs="Arial"/>
                <w:b/>
                <w:sz w:val="18"/>
                <w:szCs w:val="18"/>
              </w:rPr>
              <w:t xml:space="preserve"> </w:t>
            </w:r>
            <w:r w:rsidRPr="00196903">
              <w:rPr>
                <w:rFonts w:asciiTheme="majorHAnsi" w:hAnsiTheme="majorHAnsi" w:cs="Arial"/>
                <w:b/>
                <w:sz w:val="18"/>
                <w:szCs w:val="18"/>
              </w:rPr>
              <w:t>B</w:t>
            </w:r>
          </w:p>
          <w:p w:rsidR="00CB72ED" w:rsidRPr="00B96B4F" w:rsidRDefault="00196903" w:rsidP="00196903">
            <w:pPr>
              <w:pStyle w:val="NoSpacing"/>
              <w:rPr>
                <w:rFonts w:asciiTheme="majorHAnsi" w:hAnsiTheme="majorHAnsi" w:cs="Arial"/>
                <w:b/>
                <w:sz w:val="18"/>
                <w:szCs w:val="18"/>
              </w:rPr>
            </w:pPr>
            <w:r w:rsidRPr="00196903">
              <w:rPr>
                <w:rFonts w:asciiTheme="majorHAnsi" w:hAnsiTheme="majorHAnsi" w:cs="Arial"/>
                <w:b/>
                <w:sz w:val="18"/>
                <w:szCs w:val="18"/>
              </w:rPr>
              <w:t>95-100</w:t>
            </w:r>
            <w:r w:rsidRPr="00196903">
              <w:rPr>
                <w:rFonts w:asciiTheme="majorHAnsi" w:hAnsiTheme="majorHAnsi" w:cs="Arial"/>
                <w:b/>
                <w:sz w:val="18"/>
                <w:szCs w:val="18"/>
              </w:rPr>
              <w:tab/>
              <w:t>Deset (10)</w:t>
            </w:r>
            <w:r>
              <w:rPr>
                <w:rFonts w:asciiTheme="majorHAnsi" w:hAnsiTheme="majorHAnsi" w:cs="Arial"/>
                <w:b/>
                <w:sz w:val="18"/>
                <w:szCs w:val="18"/>
              </w:rPr>
              <w:t xml:space="preserve"> </w:t>
            </w:r>
            <w:r w:rsidRPr="00196903">
              <w:rPr>
                <w:rFonts w:asciiTheme="majorHAnsi" w:hAnsiTheme="majorHAnsi" w:cs="Arial"/>
                <w:b/>
                <w:sz w:val="18"/>
                <w:szCs w:val="18"/>
              </w:rPr>
              <w:t>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4667E">
            <w:pP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4667E" w:rsidRPr="0054667E">
              <w:rPr>
                <w:rFonts w:asciiTheme="majorHAnsi" w:hAnsiTheme="majorHAnsi" w:cs="Arial"/>
                <w:b/>
                <w:sz w:val="18"/>
                <w:szCs w:val="18"/>
              </w:rPr>
              <w:t xml:space="preserve">Naučni članci predavača </w:t>
            </w:r>
            <w:bookmarkStart w:id="3" w:name="_GoBack"/>
            <w:bookmarkEnd w:id="3"/>
            <w:r w:rsidR="0054667E" w:rsidRPr="0054667E">
              <w:rPr>
                <w:rFonts w:asciiTheme="majorHAnsi" w:hAnsiTheme="majorHAnsi" w:cs="Arial"/>
                <w:b/>
                <w:sz w:val="18"/>
                <w:szCs w:val="18"/>
              </w:rPr>
              <w:t>na predmetu "Znanstveni pristup javnozdravstvenim problemima"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91380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45B1B">
              <w:rPr>
                <w:rFonts w:asciiTheme="majorHAnsi" w:hAnsiTheme="majorHAnsi" w:cs="Arial"/>
                <w:b/>
                <w:sz w:val="18"/>
                <w:szCs w:val="18"/>
              </w:rPr>
              <w:t>2025/2026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4504F1">
            <w:pPr>
              <w:pStyle w:val="NoSpacing"/>
              <w:jc w:val="center"/>
              <w:rPr>
                <w:rFonts w:asciiTheme="majorHAnsi" w:hAnsiTheme="majorHAnsi" w:cs="Arial"/>
                <w:b/>
                <w:sz w:val="18"/>
                <w:szCs w:val="18"/>
              </w:rPr>
            </w:pPr>
            <w:r w:rsidRPr="00196903">
              <w:rPr>
                <w:rFonts w:asciiTheme="majorHAnsi" w:hAnsiTheme="majorHAnsi" w:cs="Arial"/>
                <w:b/>
                <w:sz w:val="18"/>
                <w:szCs w:val="18"/>
              </w:rPr>
              <w:fldChar w:fldCharType="begin">
                <w:ffData>
                  <w:name w:val=""/>
                  <w:enabled/>
                  <w:calcOnExit w:val="0"/>
                  <w:textInput>
                    <w:maxLength w:val="17"/>
                  </w:textInput>
                </w:ffData>
              </w:fldChar>
            </w:r>
            <w:r w:rsidR="00FB48B6" w:rsidRPr="004504F1">
              <w:rPr>
                <w:rFonts w:asciiTheme="majorHAnsi" w:hAnsiTheme="majorHAnsi" w:cs="Arial"/>
                <w:b/>
                <w:sz w:val="18"/>
                <w:szCs w:val="18"/>
              </w:rPr>
              <w:instrText xml:space="preserve"> FORMTEXT </w:instrText>
            </w:r>
            <w:r w:rsidRPr="00196903">
              <w:rPr>
                <w:rFonts w:asciiTheme="majorHAnsi" w:hAnsiTheme="majorHAnsi" w:cs="Arial"/>
                <w:b/>
                <w:sz w:val="18"/>
                <w:szCs w:val="18"/>
              </w:rPr>
            </w:r>
            <w:r w:rsidRPr="00196903">
              <w:rPr>
                <w:rFonts w:asciiTheme="majorHAnsi" w:hAnsiTheme="majorHAnsi" w:cs="Arial"/>
                <w:b/>
                <w:sz w:val="18"/>
                <w:szCs w:val="18"/>
              </w:rPr>
              <w:fldChar w:fldCharType="separate"/>
            </w:r>
            <w:r w:rsidR="00FB48B6" w:rsidRPr="0054667E">
              <w:rPr>
                <w:rFonts w:asciiTheme="majorHAnsi" w:hAnsiTheme="majorHAnsi" w:cs="Arial"/>
                <w:b/>
                <w:spacing w:val="522"/>
                <w:sz w:val="18"/>
                <w:szCs w:val="18"/>
              </w:rPr>
              <w:t>  </w:t>
            </w:r>
            <w:r w:rsidR="00FB48B6" w:rsidRPr="0054667E">
              <w:rPr>
                <w:rFonts w:asciiTheme="majorHAnsi" w:hAnsiTheme="majorHAnsi" w:cs="Arial"/>
                <w:b/>
                <w:spacing w:val="-1"/>
                <w:sz w:val="18"/>
                <w:szCs w:val="18"/>
              </w:rPr>
              <w:t> </w:t>
            </w:r>
            <w:r w:rsidRPr="0054667E">
              <w:rPr>
                <w:rFonts w:asciiTheme="majorHAnsi" w:hAnsiTheme="majorHAnsi" w:cs="Arial"/>
                <w:b/>
                <w:spacing w:val="-1"/>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63" w:rsidRDefault="00EE2B63">
      <w:pPr>
        <w:spacing w:line="240" w:lineRule="auto"/>
      </w:pPr>
      <w:r>
        <w:separator/>
      </w:r>
    </w:p>
  </w:endnote>
  <w:endnote w:type="continuationSeparator" w:id="0">
    <w:p w:rsidR="00EE2B63" w:rsidRDefault="00EE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1464"/>
      <w:gridCol w:w="1160"/>
      <w:gridCol w:w="2317"/>
      <w:gridCol w:w="1157"/>
      <w:gridCol w:w="2124"/>
      <w:gridCol w:w="1157"/>
      <w:gridCol w:w="883"/>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54667E">
            <w:rPr>
              <w:rFonts w:ascii="Cambria" w:hAnsi="Cambria" w:cs="Calibri"/>
              <w:noProof/>
              <w:sz w:val="16"/>
              <w:szCs w:val="16"/>
            </w:rPr>
            <w:t>3.3.2026</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54667E">
            <w:rPr>
              <w:rFonts w:ascii="Cambria" w:hAnsi="Cambria" w:cs="Calibri"/>
              <w:noProof/>
              <w:sz w:val="16"/>
              <w:szCs w:val="16"/>
            </w:rPr>
            <w:t>3</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54667E">
            <w:rPr>
              <w:rFonts w:ascii="Cambria" w:hAnsi="Cambria" w:cs="Calibri"/>
              <w:noProof/>
              <w:sz w:val="16"/>
              <w:szCs w:val="16"/>
            </w:rPr>
            <w:t>3</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63" w:rsidRDefault="00EE2B63">
      <w:pPr>
        <w:spacing w:after="0"/>
      </w:pPr>
      <w:r>
        <w:separator/>
      </w:r>
    </w:p>
  </w:footnote>
  <w:footnote w:type="continuationSeparator" w:id="0">
    <w:p w:rsidR="00EE2B63" w:rsidRDefault="00EE2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B7C8D"/>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46D79"/>
    <w:rsid w:val="001510AC"/>
    <w:rsid w:val="00162D9B"/>
    <w:rsid w:val="00163316"/>
    <w:rsid w:val="001679F6"/>
    <w:rsid w:val="00172E2F"/>
    <w:rsid w:val="00174CD2"/>
    <w:rsid w:val="0018386E"/>
    <w:rsid w:val="00190A12"/>
    <w:rsid w:val="00192235"/>
    <w:rsid w:val="001947D2"/>
    <w:rsid w:val="00194AB4"/>
    <w:rsid w:val="00196903"/>
    <w:rsid w:val="001A6ADE"/>
    <w:rsid w:val="001A7C91"/>
    <w:rsid w:val="001B4268"/>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4EB7"/>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04F1"/>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3AF3"/>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67E"/>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62431"/>
    <w:rsid w:val="0076665F"/>
    <w:rsid w:val="00770212"/>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3B1F"/>
    <w:rsid w:val="007E42F6"/>
    <w:rsid w:val="007F3B3C"/>
    <w:rsid w:val="007F4812"/>
    <w:rsid w:val="007F4B68"/>
    <w:rsid w:val="007F4C8A"/>
    <w:rsid w:val="007F586D"/>
    <w:rsid w:val="007F646A"/>
    <w:rsid w:val="008024BF"/>
    <w:rsid w:val="00810184"/>
    <w:rsid w:val="0081095A"/>
    <w:rsid w:val="008115A9"/>
    <w:rsid w:val="0081362E"/>
    <w:rsid w:val="008266C8"/>
    <w:rsid w:val="0083131D"/>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380E"/>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192B"/>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45B1B"/>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06CE1"/>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5A5C"/>
    <w:rsid w:val="00EC7227"/>
    <w:rsid w:val="00EE2B1A"/>
    <w:rsid w:val="00EE2B63"/>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F3DE"/>
  <w15:docId w15:val="{A6F49E07-AF94-4283-9EBC-8D845FF2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8F91-B0BA-42EE-9DB8-E3D65E9A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Azra Kurtic</cp:lastModifiedBy>
  <cp:revision>2</cp:revision>
  <cp:lastPrinted>2024-03-19T08:24:00Z</cp:lastPrinted>
  <dcterms:created xsi:type="dcterms:W3CDTF">2026-03-03T12:37:00Z</dcterms:created>
  <dcterms:modified xsi:type="dcterms:W3CDTF">2026-03-03T12:37:00Z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