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75CAB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7F673F22" wp14:editId="36EDFE8D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7AE118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21A0873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3BC2D621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3C9D8C3A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4AA58FA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196E8E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B2FD21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A12BD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0" w:type="dxa"/>
            </w:tcMar>
          </w:tcPr>
          <w:p w14:paraId="4C8551D5" w14:textId="77777777" w:rsidR="00CB72ED" w:rsidRPr="00B96B4F" w:rsidRDefault="00D05D23" w:rsidP="008468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PATOLOGIJA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770968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1C0B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1DF2A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6055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BB54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945B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692A2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559EEC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3BB0C22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71652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5C035E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5BEAF68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6836AF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37FA1E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16321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30DA2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D28D5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287C3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D5AFB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78A1EB7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vAlign w:val="center"/>
          </w:tcPr>
          <w:p w14:paraId="3706A36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4B7795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DB7C1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D88ECC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38EF7A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6312CA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398889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48C9207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6EFEBE4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6B409E">
              <w:rPr>
                <w:rFonts w:asciiTheme="majorHAnsi" w:hAnsiTheme="majorHAnsi" w:cs="Arial"/>
                <w:b/>
                <w:sz w:val="18"/>
                <w:szCs w:val="18"/>
              </w:rPr>
              <w:t>+II</w:t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07759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4337A9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9618F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EC4E9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34663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E716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F20FF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026BDE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69375F7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C57812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CAA78B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3BF0EE0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4E950BA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17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58CC8DB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6A8A4D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6C33E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B4A97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78FB9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FD165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F2FBD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F9BB5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05022AB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F2D67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649DB5A" w14:textId="77777777">
        <w:trPr>
          <w:trHeight w:val="329"/>
        </w:trPr>
        <w:tc>
          <w:tcPr>
            <w:tcW w:w="7424" w:type="dxa"/>
            <w:gridSpan w:val="28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A2E283D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46946E7D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475F9D9B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7CA7957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4D9DB5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77C655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4A70E7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86787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6BFD7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8C744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F8E03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62556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C5EBF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007EC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0D42B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8843AD6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3FAD32C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85002">
              <w:rPr>
                <w:rFonts w:asciiTheme="majorHAnsi" w:hAnsiTheme="majorHAnsi" w:cs="Arial"/>
                <w:b/>
                <w:sz w:val="18"/>
                <w:szCs w:val="18"/>
              </w:rPr>
              <w:t xml:space="preserve">Položeni nastavni predmeti </w:t>
            </w:r>
            <w:r w:rsidR="00394A0A" w:rsidRPr="00394A0A">
              <w:rPr>
                <w:rFonts w:asciiTheme="majorHAnsi" w:hAnsiTheme="majorHAnsi"/>
                <w:b/>
                <w:sz w:val="18"/>
                <w:szCs w:val="18"/>
              </w:rPr>
              <w:t>Histologija i embriologija 1;</w:t>
            </w:r>
            <w:r w:rsidR="00E41302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394A0A" w:rsidRPr="00394A0A">
              <w:rPr>
                <w:rFonts w:asciiTheme="majorHAnsi" w:hAnsiTheme="majorHAnsi"/>
                <w:b/>
                <w:sz w:val="18"/>
                <w:szCs w:val="18"/>
              </w:rPr>
              <w:t>Histologija i embriologija 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3701DE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D22D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12F7B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AF15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DA23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93B3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457C5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F24D7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4F5E6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E5EE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40FF95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791BE5E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45AB1C2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99C3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2DBE3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BFC7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65D6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D85B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04363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00512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66623A3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16028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F0BADF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4436649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5BEC940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33BA3D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20A732A" w14:textId="46436433" w:rsidR="00CB72ED" w:rsidRPr="00B96B4F" w:rsidRDefault="00D05D23" w:rsidP="00E4130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1D2EA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41302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D757DA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6F3DC1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F3D9F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A168A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DDA64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E552E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EA41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41466D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255200D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55F800B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0A256F9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31378F6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61B8B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2DB804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438DE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3D969522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54E41630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D340B4D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813BE9E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4EEF6BA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20257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EE229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563BE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5E84E4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2B3916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CEF393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3884952E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BE11F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D853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BDB49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18559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9368E" w14:textId="77777777" w:rsidR="00CB72ED" w:rsidRPr="00B96B4F" w:rsidRDefault="00D05D23" w:rsidP="00E4130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41302">
              <w:rPr>
                <w:rFonts w:asciiTheme="majorHAnsi" w:hAnsiTheme="majorHAnsi" w:cs="Arial"/>
                <w:b/>
                <w:sz w:val="18"/>
                <w:szCs w:val="18"/>
              </w:rPr>
              <w:t>168,75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7F2B66FA" w14:textId="77777777">
        <w:trPr>
          <w:trHeight w:val="113"/>
        </w:trPr>
        <w:tc>
          <w:tcPr>
            <w:tcW w:w="2637" w:type="dxa"/>
            <w:gridSpan w:val="8"/>
            <w:vAlign w:val="center"/>
          </w:tcPr>
          <w:p w14:paraId="5C63305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44216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565B97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12D94A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513F7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9FDF8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BBD58C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3F1A9030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A5594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2520E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B3315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E36C5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F5F68" w14:textId="77777777" w:rsidR="00CB72ED" w:rsidRPr="00B96B4F" w:rsidRDefault="00D05D23" w:rsidP="00E4130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41302">
              <w:rPr>
                <w:rFonts w:asciiTheme="majorHAnsi" w:hAnsiTheme="majorHAnsi" w:cs="Arial"/>
                <w:b/>
                <w:sz w:val="18"/>
                <w:szCs w:val="18"/>
              </w:rPr>
              <w:t>290,25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56C49519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2AFC419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A6DF1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6CE61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689C4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2E358E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57B85C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996EBF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4E98B92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4A5B3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55A0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21B2E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09A2A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2C76D" w14:textId="77777777" w:rsidR="00CB72ED" w:rsidRPr="00B96B4F" w:rsidRDefault="00D05D23" w:rsidP="00E4130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41302">
              <w:rPr>
                <w:rFonts w:asciiTheme="majorHAnsi" w:hAnsiTheme="majorHAnsi" w:cs="Arial"/>
                <w:b/>
                <w:sz w:val="18"/>
                <w:szCs w:val="18"/>
              </w:rPr>
              <w:t>459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C2689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413A80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61D7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0A340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1E116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32BC9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1D5E5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0495D1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333C6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A103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7F94E4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4F4481E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4A0A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F5D52D6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7FE1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3FC6E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35AD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6081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6811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477B4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0F373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3F9A9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1B155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57A38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1C66683" w14:textId="77777777" w:rsidR="00CB72ED" w:rsidRPr="00B96B4F" w:rsidRDefault="00D05D23" w:rsidP="006B40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409E" w:rsidRPr="006B409E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5DAF1E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42865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CD27C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EE4B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C7D8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6BAC2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5CA63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D923D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140D9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5AC8E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8FF1A9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B411A03" w14:textId="77777777" w:rsidR="00CB72ED" w:rsidRPr="00B96B4F" w:rsidRDefault="00D05D23" w:rsidP="006B40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B409E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  <w:r w:rsidR="00394A0A" w:rsidRPr="00394A0A">
              <w:rPr>
                <w:rFonts w:asciiTheme="majorHAnsi" w:hAnsiTheme="majorHAnsi" w:cs="Arial"/>
                <w:b/>
                <w:sz w:val="18"/>
                <w:szCs w:val="18"/>
              </w:rPr>
              <w:t>r. sc.</w:t>
            </w:r>
            <w:r w:rsidR="006B409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94A0A" w:rsidRPr="00394A0A">
              <w:rPr>
                <w:rFonts w:asciiTheme="majorHAnsi" w:hAnsiTheme="majorHAnsi" w:cs="Arial"/>
                <w:b/>
                <w:sz w:val="18"/>
                <w:szCs w:val="18"/>
              </w:rPr>
              <w:t>Ermina Iljazović, red</w:t>
            </w:r>
            <w:r w:rsidR="006B409E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394A0A" w:rsidRPr="00394A0A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6B409E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E1A95D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368A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36F33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1FFF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9A7D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BD96F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8436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354F81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F45D5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AC7C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76439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937D1BF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13BF" w:rsidRPr="001413BF">
              <w:rPr>
                <w:rFonts w:asciiTheme="majorHAnsi" w:hAnsiTheme="majorHAnsi" w:cs="Arial"/>
                <w:b/>
                <w:sz w:val="18"/>
                <w:szCs w:val="18"/>
              </w:rPr>
              <w:t>Cilj nastave iz predmeta Patologija jeste da studentu pruzi znanje o mehanizmima nastanka ostecenja stanica, tkiva i organa, te da ga upozna sa morfološkim promjenama koje su rezultat oštećenja čelije ili koje nastaju kao posljedica  prisutne bolesti.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893B0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0C8C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7688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6FCD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1D4D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230DB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6DAC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1152B7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AB8B3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086B8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F52880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59EECF3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13BF" w:rsidRPr="001413BF">
              <w:rPr>
                <w:rFonts w:asciiTheme="majorHAnsi" w:hAnsiTheme="majorHAnsi" w:cs="Arial"/>
                <w:b/>
                <w:sz w:val="18"/>
                <w:szCs w:val="18"/>
              </w:rPr>
              <w:t>Nakon odslušane nastave i završenih vježbi student je sposoban da samostalno pregleda, opiše i identificira svaki od morfoloških entiteta koje je prešao tokom vježbi, a koji uključuju različite mikroskopske promjene, inflamatorne, reaktivno reparativne, preneoplastične promjene i različite neoplastične procese. Ujedno u okviru tanatologije i makrodijagnostike student je sposoban prepoznati i opisati različite makroskopske promjene tkiva i organa, kao i odgovoriti na pitanja vezano za smrt i postmortalne promjene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A34AA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1FAB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DF07D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043D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A9F7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A83F6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8C5B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3DB63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73165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2C301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8B22E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F83A62F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13BF" w:rsidRPr="001413BF">
              <w:rPr>
                <w:rFonts w:asciiTheme="majorHAnsi" w:hAnsiTheme="majorHAnsi" w:cs="Arial"/>
                <w:b/>
                <w:sz w:val="18"/>
                <w:szCs w:val="18"/>
              </w:rPr>
              <w:t xml:space="preserve">Zadatak nastave je da osposobi studente da prepoznaju morfološke promjene na stanicama, tkivima i organima, na osnovu usvojenog teoretskog znanja na predavanjima i </w:t>
            </w:r>
            <w:r w:rsidR="001413BF">
              <w:rPr>
                <w:rFonts w:asciiTheme="majorHAnsi" w:hAnsiTheme="majorHAnsi" w:cs="Arial"/>
                <w:b/>
                <w:sz w:val="18"/>
                <w:szCs w:val="18"/>
              </w:rPr>
              <w:t>praktičnim vježbama</w:t>
            </w:r>
            <w:r w:rsidR="001413BF" w:rsidRPr="001413BF">
              <w:rPr>
                <w:rFonts w:asciiTheme="majorHAnsi" w:hAnsiTheme="majorHAnsi" w:cs="Arial"/>
                <w:b/>
                <w:sz w:val="18"/>
                <w:szCs w:val="18"/>
              </w:rPr>
              <w:t>, te sticanjem vlastitog iskustva na kliničkim autopsijama, analizom makroskopskih preparata i mikroskopskim pregledom tkivnih uzoraka. Stečena znanja i vještine trebali bi omogučiti bolje razumjevanje uzroka i mehanizma nastanaka bolesti, te olakšati savladavanje znanja o funkcionalnim posljedicama morfoloških promjena. Zadaća predmeta Patologija je i ta da, kao</w:t>
            </w:r>
            <w:r w:rsidR="001413BF">
              <w:rPr>
                <w:rFonts w:asciiTheme="majorHAnsi" w:hAnsiTheme="majorHAnsi" w:cs="Arial"/>
                <w:b/>
                <w:sz w:val="18"/>
                <w:szCs w:val="18"/>
              </w:rPr>
              <w:t xml:space="preserve"> dijagnostička disciplina </w:t>
            </w:r>
            <w:r w:rsidR="001413BF" w:rsidRPr="001413BF">
              <w:rPr>
                <w:rFonts w:asciiTheme="majorHAnsi" w:hAnsiTheme="majorHAnsi" w:cs="Arial"/>
                <w:b/>
                <w:sz w:val="18"/>
                <w:szCs w:val="18"/>
              </w:rPr>
              <w:t xml:space="preserve"> poveže predhodne </w:t>
            </w:r>
            <w:r w:rsidR="001413BF">
              <w:rPr>
                <w:rFonts w:asciiTheme="majorHAnsi" w:hAnsiTheme="majorHAnsi" w:cs="Arial"/>
                <w:b/>
                <w:sz w:val="18"/>
                <w:szCs w:val="18"/>
              </w:rPr>
              <w:t>bazič</w:t>
            </w:r>
            <w:r w:rsidR="001413BF" w:rsidRPr="001413BF">
              <w:rPr>
                <w:rFonts w:asciiTheme="majorHAnsi" w:hAnsiTheme="majorHAnsi" w:cs="Arial"/>
                <w:b/>
                <w:sz w:val="18"/>
                <w:szCs w:val="18"/>
              </w:rPr>
              <w:t>ne predmete studija, proučavanje struktura i funkcija normalnog ljudskog organizma, sa kliničkim disciplinama</w:t>
            </w:r>
            <w:r w:rsidR="001413BF">
              <w:rPr>
                <w:rFonts w:asciiTheme="majorHAnsi" w:hAnsiTheme="majorHAnsi" w:cs="Arial"/>
                <w:b/>
                <w:sz w:val="18"/>
                <w:szCs w:val="18"/>
              </w:rPr>
              <w:t xml:space="preserve"> i kliničkom prezentacijom bolesti te terapijskim mogučnostima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1F7031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C5E8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F6FC4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BEFE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40FC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F2E01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0280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12FA9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3D20D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22333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34D82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223CB72" w14:textId="77777777" w:rsidR="00D637CB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Nastava se izvodi u obliku: </w:t>
            </w:r>
          </w:p>
          <w:p w14:paraId="2240996D" w14:textId="77777777" w:rsidR="00D637CB" w:rsidRDefault="00D637C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>-predavanja (135 sati) za sve studente</w:t>
            </w:r>
          </w:p>
          <w:p w14:paraId="234AA93D" w14:textId="77777777" w:rsidR="00D637CB" w:rsidRDefault="00D637C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-praktične vjezbe (90 sati) za grupe do 10 studenata </w:t>
            </w:r>
          </w:p>
          <w:p w14:paraId="024B5D4F" w14:textId="5583F28C" w:rsidR="00D637CB" w:rsidRDefault="00D637C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>-interaktivna nastava – seminari za grupe do 10 studenata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(</w:t>
            </w:r>
            <w:r w:rsidR="001D2EA7">
              <w:rPr>
                <w:rFonts w:asciiTheme="majorHAnsi" w:hAnsiTheme="majorHAnsi" w:cs="Arial"/>
                <w:b/>
                <w:sz w:val="18"/>
                <w:szCs w:val="18"/>
              </w:rPr>
              <w:t xml:space="preserve">neobavezna opciona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primjena ovisno od ukupnog broja studenata na godini</w:t>
            </w:r>
            <w:r w:rsidR="001D2EA7">
              <w:rPr>
                <w:rFonts w:asciiTheme="majorHAnsi" w:hAnsiTheme="majorHAnsi" w:cs="Arial"/>
                <w:b/>
                <w:sz w:val="18"/>
                <w:szCs w:val="18"/>
              </w:rPr>
              <w:t>: moguća samo u slučaju manjeg broja studenata na godini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03DF4EBD" w14:textId="77777777" w:rsidR="00DA7C60" w:rsidRDefault="00D637C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Učenje se ostvaruje slušanjem izlaganja na predavanjima, interaktivnim učenjem na</w:t>
            </w:r>
            <w:r w:rsidR="0080184C">
              <w:rPr>
                <w:rFonts w:asciiTheme="majorHAnsi" w:hAnsiTheme="majorHAnsi" w:cs="Arial"/>
                <w:b/>
                <w:sz w:val="18"/>
                <w:szCs w:val="18"/>
              </w:rPr>
              <w:t xml:space="preserve"> vježbama,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praktičnim radom u okviru obdukcijskih i vježbi makroskopske dijagnostike na muzejskim preparatima i hirurškim bioptatima </w:t>
            </w:r>
            <w:r w:rsidR="0080184C">
              <w:rPr>
                <w:rFonts w:asciiTheme="majorHAnsi" w:hAnsiTheme="majorHAnsi" w:cs="Arial"/>
                <w:b/>
                <w:sz w:val="18"/>
                <w:szCs w:val="18"/>
              </w:rPr>
              <w:t>te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mi</w:t>
            </w:r>
            <w:r w:rsidR="0080184C">
              <w:rPr>
                <w:rFonts w:asciiTheme="majorHAnsi" w:hAnsiTheme="majorHAnsi" w:cs="Arial"/>
                <w:b/>
                <w:sz w:val="18"/>
                <w:szCs w:val="18"/>
              </w:rPr>
              <w:t>kr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>oskopskom analizom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na vježbama</w:t>
            </w:r>
            <w:r w:rsidR="00DA7C60">
              <w:rPr>
                <w:rFonts w:asciiTheme="majorHAnsi" w:hAnsiTheme="majorHAnsi" w:cs="Arial"/>
                <w:b/>
                <w:sz w:val="18"/>
                <w:szCs w:val="18"/>
              </w:rPr>
              <w:t xml:space="preserve"> uz obavezno kolokviranje na kraju vježbi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</w:p>
          <w:p w14:paraId="20475281" w14:textId="7C52B41E" w:rsidR="00CB72ED" w:rsidRPr="00B96B4F" w:rsidRDefault="00DA7C6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U slučaju izrade seminara, 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 izlažu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dodjeljenu 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>tezu i učestvuju u diskusiji.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DBDA9F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5672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067AA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F29B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D413F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B338C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AAE2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82AFF4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2D78C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7FA8F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4FB85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FB96D23" w14:textId="77777777" w:rsidR="002051B0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kontinuirano u toku semestra i kao završni ispit. Praktični dio: </w:t>
            </w:r>
          </w:p>
          <w:p w14:paraId="025FBA3C" w14:textId="77777777" w:rsidR="002051B0" w:rsidRDefault="00D637C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a) Patohistološke vježbe: </w:t>
            </w:r>
          </w:p>
          <w:p w14:paraId="4696CE4B" w14:textId="7DEBA330" w:rsidR="002051B0" w:rsidRDefault="00D637C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>Skala ocjenivanja ima maksimalno 15 bodova, a minimalan uvjet za uspješno urađene vježbe je 9 bodova. Student dobija 3 patohistološka preparata, od kojih svaki nosi po 5 bodova (mikroskopski opis 2 boda, diferencijalna dijagnoza ili decidna dij</w:t>
            </w:r>
            <w:r w:rsidR="002051B0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>gnoza 3 boda).</w:t>
            </w:r>
            <w:r w:rsidR="002051B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Student treba da prepozna i opise </w:t>
            </w:r>
            <w:r w:rsidR="002051B0">
              <w:rPr>
                <w:rFonts w:asciiTheme="majorHAnsi" w:hAnsiTheme="majorHAnsi" w:cs="Arial"/>
                <w:b/>
                <w:sz w:val="18"/>
                <w:szCs w:val="18"/>
              </w:rPr>
              <w:t xml:space="preserve">uzorak tkiva i prisutnu 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>morfološku promjenu</w:t>
            </w:r>
            <w:r w:rsidR="002051B0">
              <w:rPr>
                <w:rFonts w:asciiTheme="majorHAnsi" w:hAnsiTheme="majorHAnsi" w:cs="Arial"/>
                <w:b/>
                <w:sz w:val="18"/>
                <w:szCs w:val="18"/>
              </w:rPr>
              <w:t xml:space="preserve"> na preparatu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</w:p>
          <w:p w14:paraId="63BC2615" w14:textId="69259836" w:rsidR="002051B0" w:rsidRDefault="00D637C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>b) Makrodijagnostika i tanatologija: Skala ocjenivanja ima maksimalno 5 bodova, a minimalan uvjet za prolaz je 2,5 boda. Student dobija 1 pitanje, koj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nos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maksimalno 1 bod, a minimalno 0,5 bodova i jedan muzejski preparat za opis koji nosi maksimalno 4 boda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a minimalno 2 bod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a.</w:t>
            </w:r>
            <w:r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14:paraId="73E6CBD0" w14:textId="702AF372" w:rsidR="002051B0" w:rsidRDefault="002051B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** *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>Položen praktični ispit/kolokviji predstavljaju preduvjet za polaganje završnog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 xml:space="preserve"> dijela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ispita, a ukupan broj bodova po kolokviju koji student može ostvariti i ulazi u ocjenu je 5 bod</w:t>
            </w:r>
            <w:r w:rsidR="00D637CB">
              <w:rPr>
                <w:rFonts w:asciiTheme="majorHAnsi" w:hAnsiTheme="majorHAnsi" w:cs="Arial"/>
                <w:b/>
                <w:sz w:val="18"/>
                <w:szCs w:val="18"/>
              </w:rPr>
              <w:t>ov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a (ukupno 20) </w:t>
            </w:r>
          </w:p>
          <w:p w14:paraId="1C96E23E" w14:textId="25CE6108" w:rsidR="002051B0" w:rsidRDefault="002051B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**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Teoretska provjera znanja podrazumijeva </w:t>
            </w:r>
            <w:r w:rsid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jednu 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>parcijal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u svakom semestru  i završni ispit. Da bi položio parcijalni ispit student mora osvojiti</w:t>
            </w:r>
            <w:r w:rsid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više od 50% ukupnog broja bodova, odnsno 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5,4 boda od ukupno mogućih 10. </w:t>
            </w:r>
            <w:r w:rsidR="00D637CB">
              <w:rPr>
                <w:rFonts w:asciiTheme="majorHAnsi" w:hAnsiTheme="majorHAnsi" w:cs="Arial"/>
                <w:b/>
                <w:sz w:val="18"/>
                <w:szCs w:val="18"/>
              </w:rPr>
              <w:t>Ostvarene ocjene na parcijalama ulaze u</w:t>
            </w:r>
            <w:r w:rsid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 formiranje finalne ocjene na završnom ispitu. 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 xml:space="preserve"> Prva parcijala (gradivo opšte patologije) nosi 25% </w:t>
            </w:r>
            <w:r w:rsidR="00D132D0">
              <w:rPr>
                <w:rFonts w:asciiTheme="majorHAnsi" w:hAnsiTheme="majorHAnsi" w:cs="Arial"/>
                <w:b/>
                <w:sz w:val="18"/>
                <w:szCs w:val="18"/>
              </w:rPr>
              <w:t xml:space="preserve">(bodova) 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 xml:space="preserve">ukupne ocjene, dok druga parcijala (gradivo specijalne, kliničke patologije) nosi 30% </w:t>
            </w:r>
            <w:r w:rsidR="00D132D0">
              <w:rPr>
                <w:rFonts w:asciiTheme="majorHAnsi" w:hAnsiTheme="majorHAnsi" w:cs="Arial"/>
                <w:b/>
                <w:sz w:val="18"/>
                <w:szCs w:val="18"/>
              </w:rPr>
              <w:t xml:space="preserve">(bodova) 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>ukupne ocjene</w:t>
            </w:r>
            <w:r w:rsidR="00D132D0">
              <w:rPr>
                <w:rFonts w:asciiTheme="majorHAnsi" w:hAnsiTheme="majorHAnsi" w:cs="Arial"/>
                <w:b/>
                <w:sz w:val="18"/>
                <w:szCs w:val="18"/>
              </w:rPr>
              <w:t>, što čini 55% (bodova).</w:t>
            </w:r>
          </w:p>
          <w:p w14:paraId="7FA4F4C9" w14:textId="37F6243E" w:rsidR="00CB72ED" w:rsidRPr="00B96B4F" w:rsidRDefault="002051B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*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je usmeni i pravo izlaska imaju svi studenti koji su položili </w:t>
            </w:r>
            <w:r w:rsidR="00012373">
              <w:rPr>
                <w:rFonts w:asciiTheme="majorHAnsi" w:hAnsiTheme="majorHAnsi" w:cs="Arial"/>
                <w:b/>
                <w:sz w:val="18"/>
                <w:szCs w:val="18"/>
              </w:rPr>
              <w:t>jednu ili obje parcijale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, a na završnom ispitu polažu 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>gradivo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koje nisu položili</w:t>
            </w:r>
            <w:r w:rsidR="00E028C2">
              <w:rPr>
                <w:rFonts w:asciiTheme="majorHAnsi" w:hAnsiTheme="majorHAnsi" w:cs="Arial"/>
                <w:b/>
                <w:sz w:val="18"/>
                <w:szCs w:val="18"/>
              </w:rPr>
              <w:t xml:space="preserve"> (gradivo prve ili druge parcijale)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>. Na završni ispit mogu pristupiti i</w:t>
            </w:r>
            <w:r w:rsid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studenti koji nisu položili ni jednu parcijalu i na završnom ispitu polažu ispit u cjelosti, kao i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studenti koji žele veću ocjenu od postignute na parcijalama. Završni ispit ima </w:t>
            </w:r>
            <w:r w:rsidR="00012373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 xml:space="preserve"> pitanja</w:t>
            </w:r>
            <w:r w:rsidR="00012373">
              <w:rPr>
                <w:rFonts w:asciiTheme="majorHAnsi" w:hAnsiTheme="majorHAnsi" w:cs="Arial"/>
                <w:b/>
                <w:sz w:val="18"/>
                <w:szCs w:val="18"/>
              </w:rPr>
              <w:t>, svako pitanje se ocjenjuje zasebno</w:t>
            </w:r>
            <w:r w:rsidR="00D637CB" w:rsidRPr="00D637C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 Ukoliko student polaže i parcijale, iz svake parcijale odgovara po 3 pitanja koja se zasebno ocjenjuju i na kraju se formira prosječna ocjena. </w:t>
            </w:r>
            <w:r w:rsidR="00D637C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637C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637C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D5C105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6066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C40AF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91DA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668C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F3AF0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17A9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A4FA4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5AAED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F32A2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E98D1D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8233789" w14:textId="512D6D13" w:rsidR="00012373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2373" w:rsidRP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Ocjena na ispitu </w:t>
            </w:r>
            <w:r w:rsid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(provjeri zananja) </w:t>
            </w:r>
            <w:r w:rsidR="00012373" w:rsidRP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zasnovana je na ukupnom broju bodova koje je student stekao ispunjavanjem predispitnih obaveza i polaganjem ispita, a prema kvalitetu stečenih znanja i vještina, i sadrži maksimalno 100 bodova, te se utvrđuje prema slijedećoj skali: </w:t>
            </w:r>
          </w:p>
          <w:p w14:paraId="3A165B43" w14:textId="001DD3D7" w:rsidR="00012373" w:rsidRPr="00012373" w:rsidRDefault="00012373" w:rsidP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01111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14:paraId="06B7E0AD" w14:textId="77777777" w:rsidR="00012373" w:rsidRPr="00012373" w:rsidRDefault="00012373" w:rsidP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14:paraId="5732FD53" w14:textId="77777777" w:rsidR="00012373" w:rsidRPr="00012373" w:rsidRDefault="00012373" w:rsidP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14:paraId="5A2D46FF" w14:textId="77777777" w:rsidR="00012373" w:rsidRPr="00012373" w:rsidRDefault="00012373" w:rsidP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14:paraId="1609896B" w14:textId="77777777" w:rsidR="00CB72ED" w:rsidRPr="00B96B4F" w:rsidRDefault="00012373" w:rsidP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222D8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D750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73FC1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3F27A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45CC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8BB18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AFD2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2A208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388D8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9B0C0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03BA9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2F5BD2" w14:textId="77777777" w:rsidR="00012373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2373" w:rsidRPr="00012373">
              <w:rPr>
                <w:rFonts w:asciiTheme="majorHAnsi" w:hAnsiTheme="majorHAnsi" w:cs="Arial"/>
                <w:b/>
                <w:sz w:val="18"/>
                <w:szCs w:val="18"/>
              </w:rPr>
              <w:t>Obavezna:</w:t>
            </w:r>
          </w:p>
          <w:p w14:paraId="4FE273A2" w14:textId="18B88EBF" w:rsidR="00012373" w:rsidRDefault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1. Kumar, Cotran, Robbins. Osnove patologije prema V americkom izdanju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(</w:t>
            </w:r>
            <w:r w:rsidR="001D2EA7">
              <w:rPr>
                <w:rFonts w:asciiTheme="majorHAnsi" w:hAnsiTheme="majorHAnsi" w:cs="Arial"/>
                <w:b/>
                <w:sz w:val="18"/>
                <w:szCs w:val="18"/>
              </w:rPr>
              <w:t xml:space="preserve">i sva up-date-ovana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izdanja)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. Skolska knjiga Zagreb : 1992</w:t>
            </w:r>
          </w:p>
          <w:p w14:paraId="3D7B00B8" w14:textId="77777777" w:rsidR="00012373" w:rsidRDefault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2.Jukic S.,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Damjanov I. Opca patologija.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Medicinska naklada. Zagreb,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2004 </w:t>
            </w:r>
          </w:p>
          <w:p w14:paraId="32D757C7" w14:textId="77777777" w:rsidR="00012373" w:rsidRDefault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3.Jukic S.,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Damjanov I.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Specijalna patologija.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Medicinska naklada.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>Zagrab,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2005 </w:t>
            </w:r>
          </w:p>
          <w:p w14:paraId="0A4F4B55" w14:textId="77777777" w:rsidR="00012373" w:rsidRDefault="000123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2373">
              <w:rPr>
                <w:rFonts w:asciiTheme="majorHAnsi" w:hAnsiTheme="majorHAnsi" w:cs="Arial"/>
                <w:b/>
                <w:sz w:val="18"/>
                <w:szCs w:val="18"/>
              </w:rPr>
              <w:t xml:space="preserve">4.Plamenac P. Obduckioni praktikum i osnovi makrodijagnostike. Svjetlost.Sarajevo 2002 </w:t>
            </w:r>
          </w:p>
          <w:p w14:paraId="515CAA72" w14:textId="56DC1191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4171983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1B2C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2786A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9383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18BE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E6185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48A6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C2B477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3A99D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2DCD5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2D5AD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3D4F878" w14:textId="77777777" w:rsidR="001D2EA7" w:rsidRPr="001D2EA7" w:rsidRDefault="00D05D23" w:rsidP="001D2E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1D2EA7" w:rsidRPr="001D2EA7">
              <w:rPr>
                <w:rFonts w:asciiTheme="majorHAnsi" w:hAnsiTheme="majorHAnsi" w:cs="Arial"/>
                <w:b/>
                <w:sz w:val="18"/>
                <w:szCs w:val="18"/>
              </w:rPr>
              <w:t>5.Selak, Radovic, Iljazovic, Cickusic. Patologija-Testovi za provjeru znanja. Sarajevo 2002</w:t>
            </w:r>
          </w:p>
          <w:p w14:paraId="4361775F" w14:textId="4C4D0808" w:rsidR="00CB72ED" w:rsidRPr="00B96B4F" w:rsidRDefault="001D2EA7" w:rsidP="001D2EA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D2EA7">
              <w:rPr>
                <w:rFonts w:asciiTheme="majorHAnsi" w:hAnsiTheme="majorHAnsi" w:cs="Arial"/>
                <w:b/>
                <w:sz w:val="18"/>
                <w:szCs w:val="18"/>
              </w:rPr>
              <w:t>Proširena: 1.Belicza M.,Tomas D. Obdukciona dijagnostika.Medicinska naklada Zagreb 2004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E89690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03CA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C8D66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A7EC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19C7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F58E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666D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E5B3E87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8EDE5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F4EDF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576AF1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D7ABAA6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184C" w:rsidRPr="0080184C">
              <w:rPr>
                <w:rFonts w:asciiTheme="majorHAnsi" w:hAnsiTheme="majorHAnsi" w:cs="Arial"/>
                <w:b/>
                <w:sz w:val="18"/>
                <w:szCs w:val="18"/>
              </w:rPr>
              <w:t>https://books.google.ba/books?id=_1Zmvm4JVNcC&amp;printsec=frontcover&amp;redir_esc=y#v=onepage&amp;q&amp;f=false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FAF61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AE64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94367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EF37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3480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E3D6C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6C97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0C3D7D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23BF85A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057650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EDD372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B9FBBA1" w14:textId="78EC8C56" w:rsidR="00CB72ED" w:rsidRPr="00B96B4F" w:rsidRDefault="00D05D23" w:rsidP="00187BA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184C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187BA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80184C">
              <w:rPr>
                <w:rFonts w:asciiTheme="majorHAnsi" w:hAnsiTheme="majorHAnsi" w:cs="Arial"/>
                <w:b/>
                <w:sz w:val="18"/>
                <w:szCs w:val="18"/>
              </w:rPr>
              <w:t>/2</w:t>
            </w:r>
            <w:r w:rsidR="00187BA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DA69A5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13D5B2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83EFB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34CEF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97AF0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2C6A57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069EC4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B677767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3D13957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335ABF3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DA632E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7" w:type="dxa"/>
            </w:tcMar>
            <w:tcFitText/>
          </w:tcPr>
          <w:p w14:paraId="0B5C8802" w14:textId="476D55E6" w:rsidR="00CB72ED" w:rsidRPr="00B96B4F" w:rsidRDefault="00D05D23" w:rsidP="00187BA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87BA8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187BA8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87BA8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87BA8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87BA8" w:rsidRPr="00187BA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87BA8" w:rsidRPr="00187BA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87BA8" w:rsidRPr="00187BA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87BA8" w:rsidRPr="00187BA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87BA8" w:rsidRPr="00187BA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187BA8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14:paraId="264EC6BB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101BCD3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59D0B1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4BFC6E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C3E595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4EF56A9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3808025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372AC8D4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A7584" w14:textId="77777777" w:rsidR="00BC784A" w:rsidRDefault="00BC784A">
      <w:pPr>
        <w:spacing w:line="240" w:lineRule="auto"/>
      </w:pPr>
      <w:r>
        <w:separator/>
      </w:r>
    </w:p>
  </w:endnote>
  <w:endnote w:type="continuationSeparator" w:id="0">
    <w:p w14:paraId="1FD6F294" w14:textId="77777777" w:rsidR="00BC784A" w:rsidRDefault="00BC7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65E79F6B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7461CB3" w14:textId="23AA095D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11115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27C7ADDC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3265988E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E9A4BE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060138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00DAC84A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4427DF9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1111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11115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01DBC8DB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BE58B" w14:textId="77777777" w:rsidR="00BC784A" w:rsidRDefault="00BC784A">
      <w:pPr>
        <w:spacing w:after="0"/>
      </w:pPr>
      <w:r>
        <w:separator/>
      </w:r>
    </w:p>
  </w:footnote>
  <w:footnote w:type="continuationSeparator" w:id="0">
    <w:p w14:paraId="1EE6C11D" w14:textId="77777777" w:rsidR="00BC784A" w:rsidRDefault="00BC78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0E692" w14:textId="77777777" w:rsidR="00CB72ED" w:rsidRDefault="00CB72ED">
    <w:pPr>
      <w:pStyle w:val="Header"/>
    </w:pPr>
  </w:p>
  <w:p w14:paraId="007A4FA0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1115"/>
    <w:rsid w:val="00012373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3BF"/>
    <w:rsid w:val="00141CB0"/>
    <w:rsid w:val="0014427D"/>
    <w:rsid w:val="00144785"/>
    <w:rsid w:val="001448D6"/>
    <w:rsid w:val="001476A3"/>
    <w:rsid w:val="001510AC"/>
    <w:rsid w:val="00162D9B"/>
    <w:rsid w:val="00163316"/>
    <w:rsid w:val="001679F6"/>
    <w:rsid w:val="00172E2F"/>
    <w:rsid w:val="00174CD2"/>
    <w:rsid w:val="0018386E"/>
    <w:rsid w:val="00187BA8"/>
    <w:rsid w:val="00192235"/>
    <w:rsid w:val="001947D2"/>
    <w:rsid w:val="00194AB4"/>
    <w:rsid w:val="001A6ADE"/>
    <w:rsid w:val="001A7C91"/>
    <w:rsid w:val="001C5DAC"/>
    <w:rsid w:val="001D252B"/>
    <w:rsid w:val="001D2EA7"/>
    <w:rsid w:val="001E2CEF"/>
    <w:rsid w:val="001F251C"/>
    <w:rsid w:val="001F6D8D"/>
    <w:rsid w:val="00202939"/>
    <w:rsid w:val="002051B0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4A0A"/>
    <w:rsid w:val="003A053B"/>
    <w:rsid w:val="003A7CC0"/>
    <w:rsid w:val="003B7E2A"/>
    <w:rsid w:val="003C2822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E356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1908"/>
    <w:rsid w:val="006758AB"/>
    <w:rsid w:val="0067687F"/>
    <w:rsid w:val="006916BD"/>
    <w:rsid w:val="006A4F11"/>
    <w:rsid w:val="006A5891"/>
    <w:rsid w:val="006A5BA7"/>
    <w:rsid w:val="006A6ED1"/>
    <w:rsid w:val="006B409E"/>
    <w:rsid w:val="006B41A2"/>
    <w:rsid w:val="006D2A90"/>
    <w:rsid w:val="006D3BD5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184C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73FA7"/>
    <w:rsid w:val="0088121D"/>
    <w:rsid w:val="0088323A"/>
    <w:rsid w:val="008849C4"/>
    <w:rsid w:val="0088632E"/>
    <w:rsid w:val="00886B09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104C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85002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3C87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84A"/>
    <w:rsid w:val="00BC7B04"/>
    <w:rsid w:val="00BD6828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AA3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132D0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637CB"/>
    <w:rsid w:val="00D63833"/>
    <w:rsid w:val="00D764F7"/>
    <w:rsid w:val="00D91853"/>
    <w:rsid w:val="00DA1C36"/>
    <w:rsid w:val="00DA3DC5"/>
    <w:rsid w:val="00DA7C60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28C2"/>
    <w:rsid w:val="00E059AF"/>
    <w:rsid w:val="00E06E08"/>
    <w:rsid w:val="00E129E8"/>
    <w:rsid w:val="00E1535D"/>
    <w:rsid w:val="00E17B89"/>
    <w:rsid w:val="00E22091"/>
    <w:rsid w:val="00E41302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15573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4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6D8D-851D-4057-86B5-5CAF7539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7</cp:revision>
  <cp:lastPrinted>2024-06-04T11:18:00Z</cp:lastPrinted>
  <dcterms:created xsi:type="dcterms:W3CDTF">2025-09-30T20:07:00Z</dcterms:created>
  <dcterms:modified xsi:type="dcterms:W3CDTF">2025-11-11T10:54:00Z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