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55AB5">
              <w:rPr>
                <w:rFonts w:asciiTheme="majorHAnsi" w:hAnsiTheme="majorHAnsi" w:cs="Arial"/>
                <w:b/>
                <w:sz w:val="18"/>
                <w:szCs w:val="18"/>
              </w:rPr>
              <w:t>Radiologija zasnovana na dokazima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55AB5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55AB5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E97A56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E97A56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55AB5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55AB5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55AB5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55AB5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B55AB5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55AB5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B55AB5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55AB5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Medicinski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Odsjek zdravstvenih studija/ Studijski program </w:t>
            </w:r>
            <w:r w:rsidR="00B55AB5">
              <w:rPr>
                <w:rFonts w:asciiTheme="majorHAnsi" w:hAnsiTheme="majorHAnsi" w:cs="Arial"/>
                <w:b/>
                <w:sz w:val="18"/>
                <w:szCs w:val="18"/>
              </w:rPr>
              <w:t>radiološke tehnologije/  II ciklus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55AB5">
              <w:rPr>
                <w:rFonts w:asciiTheme="majorHAnsi" w:hAnsiTheme="majorHAnsi" w:cs="Arial"/>
                <w:b/>
                <w:sz w:val="18"/>
                <w:szCs w:val="18"/>
              </w:rPr>
              <w:t>Prof. dr. sc Alma Efendić, vanredni profesor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55AB5" w:rsidRPr="00B55AB5" w:rsidRDefault="00D05D23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55AB5" w:rsidRPr="00B55AB5">
              <w:rPr>
                <w:rFonts w:asciiTheme="majorHAnsi" w:hAnsiTheme="majorHAnsi" w:cs="Arial"/>
                <w:b/>
                <w:sz w:val="18"/>
                <w:szCs w:val="18"/>
              </w:rPr>
              <w:t>Razviti interes za primjenu radiologije zasnovane na dokazima. Ovladavanje praktiŁnim smjernicama za razliŁite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radiološke metode, upoznavanje baza podataka s najboljim nauŁnim dokazima iz pojedinog podruŁja koje ureőuju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posebni struŁnjaci i koje se stalno nadopunjuju novim podacima medicinskih Łasopisa i priruŁne literature s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najnovijim objektivnim podacima. Savjesno, eksplicitno i razumno korišĿenje sadašnjih najboljih dokaza u donošenju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odluka u planiranju, pružanju i evaluaciji kvaliteta radiološke dijagnostike. Integracija ekspertize radiološke</w:t>
            </w:r>
          </w:p>
          <w:p w:rsidR="00CB72ED" w:rsidRPr="00B96B4F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dijagnostike sa najboljim dostupnim dokazima.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55AB5" w:rsidRPr="00B55AB5" w:rsidRDefault="00D05D23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55AB5" w:rsidRPr="00B55AB5">
              <w:rPr>
                <w:rFonts w:asciiTheme="majorHAnsi" w:hAnsiTheme="majorHAnsi" w:cs="Arial"/>
                <w:b/>
                <w:sz w:val="18"/>
                <w:szCs w:val="18"/>
              </w:rPr>
              <w:t>IzraŁunavanje i analiza statistiŁkih pokazatelja.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Uporeőivanje Łinjenica iz radioloških medicinskih publikacija.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Analiza medicinske literature.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Izrada dizajna istraživanja u radiologiji.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Provoőenje randomiziranih kliniŁkih istraživanja,nauŁnog integriteta i odgovorno provoőenje istraživanja.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Identificiranje grešaka.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Provoőenje analiza isplativosti.</w:t>
            </w:r>
          </w:p>
          <w:p w:rsidR="00CB72ED" w:rsidRPr="00B96B4F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Analiza prognostiŁkih pokazatelja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55AB5" w:rsidRPr="00B55AB5" w:rsidRDefault="00D05D23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55AB5" w:rsidRPr="00B55AB5">
              <w:rPr>
                <w:rFonts w:asciiTheme="majorHAnsi" w:hAnsiTheme="majorHAnsi" w:cs="Arial"/>
                <w:b/>
                <w:sz w:val="18"/>
                <w:szCs w:val="18"/>
              </w:rPr>
              <w:t>Radiologija i statistika. Istorija radiologije zasnovane na Łinjenicama. UzroŁnost. Pregled medicinskih publikacija.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Pretraživanje medicinske literature. Dizajn istraživanja i snaga dokaza. Randomizirana kliniŁka istraživanja. NauŁni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integritet i odgovorno provoőenje istraživanja. Primjenjivost i snaga Łinjenica. Prezentacija Łinjenica pacijentima.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Donošenje odluka u radiologiji. Uzroci grešaka u radiologiji na svim nivoima zdravstvene zaštite. Upotreba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dijagnostiŁkih testova. VodiŁi za praksu i pravila kliniŁkog predviőanja. Analize isplativosti. Meta-analiza i sistematski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pregledi. Prikaz odabranih publikacija iz radiologije zasnovane na dokazima i primjene rezultata istih u zdravstvenom</w:t>
            </w:r>
          </w:p>
          <w:p w:rsidR="00CB72ED" w:rsidRPr="00B96B4F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sistemu.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55AB5" w:rsidRPr="00B55AB5" w:rsidRDefault="00D05D23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55AB5" w:rsidRPr="00B55AB5">
              <w:rPr>
                <w:rFonts w:asciiTheme="majorHAnsi" w:hAnsiTheme="majorHAnsi" w:cs="Arial"/>
                <w:b/>
                <w:sz w:val="18"/>
                <w:szCs w:val="18"/>
              </w:rPr>
              <w:t>Predavanja uz upotrebu multimedijalnih sredstava, tehnika aktivnog uŁenja i uz aktivno uŁešĿe i diskusije studenata;</w:t>
            </w:r>
          </w:p>
          <w:p w:rsidR="00CB72ED" w:rsidRPr="00B96B4F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- Priprema i izlaganje grupnih i individualnih seminarskih radova.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55AB5" w:rsidRPr="00B55AB5" w:rsidRDefault="00D05D23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55AB5" w:rsidRPr="00B55AB5">
              <w:rPr>
                <w:rFonts w:asciiTheme="majorHAnsi" w:hAnsiTheme="majorHAnsi" w:cs="Arial"/>
                <w:b/>
                <w:sz w:val="18"/>
                <w:szCs w:val="18"/>
              </w:rPr>
              <w:t>Nakon polovine semestra studenti pismeno polažu test (prvi meőuispit) koji obuhvata do tada obraőenu tematiku.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Test se sastoji od zadataka višestrukog izbora, zadataka jednostavnog dosje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anja ili esejskih zadataka. Svaki taŁan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odgovor boduje se sa 1 bodom, odnosno, student na prvom meőuispitu može ostvariti maksimalno 15 bodova. Nakon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završetka semestra studenti pismeno polažu test (drugi meőuispit) koji obuhvata obraőenu tematiku iz drugog dijela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semestra. Test se sastoji od zadataka višestrukog izbora, zadataka jednostavnog dosjeĿanja ili esejskih zadataka. Svaki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taŁan odgovor boduje se sa 1 bodom, odnosno, student na drugom meőuispitu može ostvariti maksimalno 15 bodova.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Oba testa polažu svi studenti na predmetu istovremeno Łime je postignuta ujednaŁenost nivoa znanja koje se testira,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kao i uslovi pod kojima student polaže ispit. U sklopu predispitnih obaveza studenti su dužni izraditi individualni ili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grupni seminarski rad koji Ŀe obuhvatiti odreőenu tematiku iz sadržaja nastavnog predmeta. Seminarski rad se u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pisanoj formi predaje predmetnom nastavniku na pregled i ocjenu, a zatim se prezentira usmeno. U izradi i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prezentaciji grupnog seminarskog rada uŁestvuju svi studenti grupe, Łije uŁešĿe se valorizira pojedinaŁno. Za uraőeni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i prezentirani seminarski rad student može ostvariti od 0 do 10 bodova. Tako</w:t>
            </w:r>
            <w:r w:rsidR="00A94752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er, za kontinuiranu aktivnost na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predavanjima u toku cijelog semestra student može ostvariti od 0 do 5 bodova.</w:t>
            </w:r>
            <w:r w:rsidR="00A94752">
              <w:rPr>
                <w:rFonts w:asciiTheme="majorHAnsi" w:hAnsiTheme="majorHAnsi" w:cs="Arial"/>
                <w:b/>
                <w:sz w:val="18"/>
                <w:szCs w:val="18"/>
              </w:rPr>
              <w:t xml:space="preserve"> Prisustvo na nastavi 5 bodova.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Završni ispit je usmeni. Pravo izlaska na završni ispit imaju studenti koji su položili testove.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Na usmenom ispitu student odgovara na tri izvuŁena pitanja iz programa nastavnog predmeta obraőenog na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predavanjima. Usmeni ispit se može položiti ukoliko student odgovori na sva tri pitanja. Maksimalan broj bodova koji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student može ostvariti na usmenom ispitu je 50.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Provjere na svim oblicima znanja priznaju se kao kumulativni ispit ukoliko je postignuti rezultat pozitivan nakon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svake pojedinaŁne provjere i iznosi najmanje 50% ukupno predviőenog i/ili traženog znanja i vještina.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Da bi student položio predmet mora ostvariti minimalno 5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 xml:space="preserve"> kumulativna boda od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ega minimalno 25 bodova na</w:t>
            </w:r>
          </w:p>
          <w:p w:rsidR="00CB72ED" w:rsidRPr="00B96B4F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završnom usmenom ispitu.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>roj bodova i konačna ocjena provjere znanja i vještina studenta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 je kako slijedi: 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-64 bod= 6 (šest); 65-74 bod= 7 (sedam); 75-84 bod= 8 (osam); 85-94 bod= 9 (devet); 95-100 bod= 10 (deset)    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55AB5" w:rsidRPr="00B55AB5" w:rsidRDefault="00D05D23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55AB5" w:rsidRPr="00B55AB5">
              <w:rPr>
                <w:rFonts w:asciiTheme="majorHAnsi" w:hAnsiTheme="majorHAnsi" w:cs="Arial"/>
                <w:b/>
                <w:sz w:val="18"/>
                <w:szCs w:val="18"/>
              </w:rPr>
              <w:t>1. Medina LS, Blackmore CC, Applegate K. Evidence Based Imaginig: Improving the Quality of Imaging in Patient Care.</w:t>
            </w:r>
          </w:p>
          <w:p w:rsidR="00B55AB5" w:rsidRPr="00B55AB5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Springer, 2011.</w:t>
            </w:r>
          </w:p>
          <w:p w:rsidR="00CB72ED" w:rsidRPr="00B96B4F" w:rsidRDefault="00B55AB5" w:rsidP="00B55A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55AB5">
              <w:rPr>
                <w:rFonts w:asciiTheme="majorHAnsi" w:hAnsiTheme="majorHAnsi" w:cs="Arial"/>
                <w:b/>
                <w:sz w:val="18"/>
                <w:szCs w:val="18"/>
              </w:rPr>
              <w:t>2. Straus SE, Glasziou P, Richardson WS, Haynes RB. Evidence-Based Medicine. How to practice and teach EBM. 2011.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55AB5">
              <w:rPr>
                <w:rFonts w:asciiTheme="majorHAnsi" w:hAnsiTheme="majorHAnsi" w:cs="Arial"/>
                <w:b/>
                <w:sz w:val="18"/>
                <w:szCs w:val="18"/>
              </w:rPr>
              <w:t>202</w:t>
            </w:r>
            <w:r w:rsidR="00A94752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B55AB5">
              <w:rPr>
                <w:rFonts w:asciiTheme="majorHAnsi" w:hAnsiTheme="majorHAnsi" w:cs="Arial"/>
                <w:b/>
                <w:sz w:val="18"/>
                <w:szCs w:val="18"/>
              </w:rPr>
              <w:t>./202</w:t>
            </w:r>
            <w:r w:rsidR="00A94752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B55AB5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1362C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91362C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91362C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91362C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1362C" w:rsidRPr="0091362C">
              <w:rPr>
                <w:rFonts w:asciiTheme="majorHAnsi" w:hAnsiTheme="majorHAnsi" w:cs="Arial"/>
                <w:b/>
                <w:w w:val="96"/>
                <w:sz w:val="18"/>
                <w:szCs w:val="18"/>
              </w:rPr>
              <w:t>22.12.2025. god</w:t>
            </w:r>
            <w:r w:rsidR="0091362C" w:rsidRPr="0091362C">
              <w:rPr>
                <w:rFonts w:asciiTheme="majorHAnsi" w:hAnsiTheme="majorHAnsi" w:cs="Arial"/>
                <w:b/>
                <w:spacing w:val="4"/>
                <w:w w:val="96"/>
                <w:sz w:val="18"/>
                <w:szCs w:val="18"/>
              </w:rPr>
              <w:t>.</w:t>
            </w:r>
            <w:bookmarkStart w:id="3" w:name="_GoBack"/>
            <w:bookmarkEnd w:id="3"/>
            <w:r w:rsidRPr="0091362C">
              <w:rPr>
                <w:rFonts w:asciiTheme="majorHAnsi" w:hAnsiTheme="majorHAnsi" w:cs="Arial"/>
                <w:b/>
                <w:spacing w:val="4"/>
                <w:w w:val="96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A56" w:rsidRDefault="00E97A56">
      <w:pPr>
        <w:spacing w:line="240" w:lineRule="auto"/>
      </w:pPr>
      <w:r>
        <w:separator/>
      </w:r>
    </w:p>
  </w:endnote>
  <w:endnote w:type="continuationSeparator" w:id="0">
    <w:p w:rsidR="00E97A56" w:rsidRDefault="00E97A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5"/>
      <w:gridCol w:w="1159"/>
      <w:gridCol w:w="2317"/>
      <w:gridCol w:w="1157"/>
      <w:gridCol w:w="2124"/>
      <w:gridCol w:w="1157"/>
      <w:gridCol w:w="883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91362C">
            <w:rPr>
              <w:rFonts w:ascii="Cambria" w:hAnsi="Cambria" w:cs="Calibri"/>
              <w:noProof/>
              <w:sz w:val="16"/>
              <w:szCs w:val="16"/>
            </w:rPr>
            <w:t>24.12.2025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E1352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E1352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A56" w:rsidRDefault="00E97A56">
      <w:pPr>
        <w:spacing w:after="0"/>
      </w:pPr>
      <w:r>
        <w:separator/>
      </w:r>
    </w:p>
  </w:footnote>
  <w:footnote w:type="continuationSeparator" w:id="0">
    <w:p w:rsidR="00E97A56" w:rsidRDefault="00E97A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92D68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352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4028"/>
    <w:rsid w:val="00736FAD"/>
    <w:rsid w:val="00740742"/>
    <w:rsid w:val="00750AEB"/>
    <w:rsid w:val="00751605"/>
    <w:rsid w:val="00762431"/>
    <w:rsid w:val="0076665F"/>
    <w:rsid w:val="00770212"/>
    <w:rsid w:val="007730A5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362C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4752"/>
    <w:rsid w:val="00A95A82"/>
    <w:rsid w:val="00AA2FB0"/>
    <w:rsid w:val="00AA43FB"/>
    <w:rsid w:val="00AA4DC6"/>
    <w:rsid w:val="00AB303C"/>
    <w:rsid w:val="00AC2059"/>
    <w:rsid w:val="00AC48D4"/>
    <w:rsid w:val="00AC5C1E"/>
    <w:rsid w:val="00AD09F4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55AB5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6B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3610E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97A56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0183A5-E56E-45D1-9781-6382C8DD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8B455-3566-4F29-AD16-9CB30109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Doc. dr. med. sc Emin Grbić</cp:lastModifiedBy>
  <cp:revision>5</cp:revision>
  <cp:lastPrinted>2024-03-19T08:24:00Z</cp:lastPrinted>
  <dcterms:created xsi:type="dcterms:W3CDTF">2025-12-01T17:04:00Z</dcterms:created>
  <dcterms:modified xsi:type="dcterms:W3CDTF">2025-12-24T08:51:00Z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