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176FEB">
              <w:rPr>
                <w:rFonts w:asciiTheme="majorHAnsi" w:hAnsiTheme="majorHAnsi" w:cs="Arial"/>
                <w:b/>
                <w:sz w:val="18"/>
                <w:szCs w:val="18"/>
              </w:rPr>
              <w:t>ORODIČNA MEDICINA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50B8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0B86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C33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23356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C2335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C2335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2335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2335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C2335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>
              <w:rPr>
                <w:rFonts w:asciiTheme="majorHAnsi" w:hAnsiTheme="majorHAnsi" w:cs="Arial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3208A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208A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208A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208A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C2335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474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F7976">
              <w:rPr>
                <w:rFonts w:asciiTheme="majorHAnsi" w:hAnsiTheme="majorHAnsi" w:cs="Arial"/>
                <w:b/>
                <w:sz w:val="18"/>
                <w:szCs w:val="18"/>
              </w:rPr>
              <w:t>33.75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208A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474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F7976">
              <w:rPr>
                <w:rFonts w:asciiTheme="majorHAnsi" w:hAnsiTheme="majorHAnsi" w:cs="Arial"/>
                <w:b/>
                <w:sz w:val="18"/>
                <w:szCs w:val="18"/>
              </w:rPr>
              <w:t>91.77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208A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23356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71A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F7976">
              <w:rPr>
                <w:rFonts w:asciiTheme="majorHAnsi" w:hAnsiTheme="majorHAnsi" w:cs="Arial"/>
                <w:b/>
                <w:sz w:val="18"/>
                <w:szCs w:val="18"/>
              </w:rPr>
              <w:t>125.52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50B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0B86" w:rsidRPr="00250B86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50B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0B86">
              <w:rPr>
                <w:rFonts w:asciiTheme="majorHAnsi" w:hAnsiTheme="majorHAnsi" w:cs="Arial"/>
                <w:b/>
                <w:sz w:val="18"/>
                <w:szCs w:val="18"/>
              </w:rPr>
              <w:t>Dr.sc. Olivera Batić Mujanović, 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23356" w:rsidRPr="00C23356" w:rsidRDefault="00D05D23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-da upozna studente sa reformom zdravstvenog sistema u svijetu, a posebno sa specifičnim okolnostima promjena zdravstvenog sistema u BiH;</w:t>
            </w:r>
          </w:p>
          <w:p w:rsidR="00C23356" w:rsidRPr="00C23356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 xml:space="preserve">-da upozna studente sa principima porodične/obiteljske medicine, a posebno sa odnosom doktor -pacijent i šta </w:t>
            </w: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predstavlja pacijentu orjentirana medicinska praksa;</w:t>
            </w:r>
          </w:p>
          <w:p w:rsidR="00C23356" w:rsidRPr="00C23356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>-da upozna princip sveobuhvatnosti porodične medicine: liječenje cijele porodice bez obzira na dob, spol i vrstu oboljenja i kontinuitet u zdravstvenoj zaštiti;</w:t>
            </w:r>
          </w:p>
          <w:p w:rsidR="00CB72ED" w:rsidRPr="00B96B4F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>-da upozna uloge doktora porodične medicine kao promotora zdravlja, vještog kliničara, koordinatora, čuvara sredstava, lidera i menadžera.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23356" w:rsidRPr="00C23356" w:rsidRDefault="00D05D23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studenti, koji su tokom čitavog nastavnog perioda kontinuirano obavljali svoje obaveze, biće u stanju da:</w:t>
            </w:r>
          </w:p>
          <w:p w:rsidR="00C23356" w:rsidRPr="00C23356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 xml:space="preserve">-identificiraju najčešće zdravstvene probleme sa kojima se susreće ljekar u primarnoj zdravstvenoj zaštiti/porodičnoj medicini; </w:t>
            </w:r>
          </w:p>
          <w:p w:rsidR="00C23356" w:rsidRPr="00C23356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>-procijene kliničke probleme na osnovu naučno dokazanih činjenica;</w:t>
            </w:r>
          </w:p>
          <w:p w:rsidR="00C23356" w:rsidRPr="00C23356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>-identificiraju efikasne komunikacijske vještine koje će koristiti u svojoj kliničkoj praksi uz timski rad;</w:t>
            </w:r>
          </w:p>
          <w:p w:rsidR="00CB72ED" w:rsidRPr="00B96B4F" w:rsidRDefault="00C23356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3356">
              <w:rPr>
                <w:rFonts w:asciiTheme="majorHAnsi" w:hAnsiTheme="majorHAnsi" w:cs="Arial"/>
                <w:b/>
                <w:sz w:val="18"/>
                <w:szCs w:val="18"/>
              </w:rPr>
              <w:t xml:space="preserve">-analiziraju i rješavaju uobičajene kliničke probleme s kojima se susreće ljekar u primarnoj zdravstvenoj zaštiti i obavljaju preventivne aktivnosti.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7A9C" w:rsidRPr="00557A9C" w:rsidRDefault="00D05D23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>Modul 1. Definicija, principi i komunikacija u porodičnoj medicini(pacijentu orjentisana klinička praksa, bolest i bolesnost, težak pacijent), Saopštavanje loše vijesti, Palijativna njega, Menadžment HNB, Prevencija u porodičnoj medicini, Skrining karcinoma, Zdravstveni problemi starije populacije.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Modul 2. Najčešći neurološki (glavobolje), gastrointestinalni i urogenitalni problemi (evaluacija bola u abdomenu, dispepsija, urogenitalni problemi), pulmološki  (pneumonija, astma, HOPB, sinusitis), pedijatrijski (temperatura kod djece, bol u grlu, otitis) i muskuloskeletni problemi (osteoartritis, reumatoidni artritis, bol u ledjima) u porodičnoj/obiteljskoj medicini.</w:t>
            </w:r>
          </w:p>
          <w:p w:rsidR="00CB72ED" w:rsidRPr="00B96B4F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3. Najčešći poremećaji mentalnog zdravlja (depresija, anksioznost, PTSP, alkoholizam), najčešći kardiovaskularni (hipertenzija, koronarna bolest, srčana insuficijencija, prevencija KVB, EKG) i endokrinološki problemi (Diabetes mellitus), Medicina zasnovana na dokazima (EBM).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7A9C" w:rsidRPr="00557A9C" w:rsidRDefault="00D05D23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>Planirane su sljedeće aktivnosti uspješnog učenja: konkretno iskustvo, promatranje i promišljanje. Kao stilovi učenja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preferiraju se: vizuelni, auditivni, verbalni, društveni, samostalni. Najznačanije metode učenja su: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sredstava, tehnika aktivnog učenja: prikazi slučajeva sa aktivnim učešćem i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 diskusijom studenata;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- Praktične vježbe: rad sa pacijentima, vježbe na modelima, tehnika aktivnog učenja: prikazi slučajeva sa aktivnim</w:t>
            </w:r>
          </w:p>
          <w:p w:rsidR="00CB72ED" w:rsidRPr="00B96B4F" w:rsidRDefault="00557A9C" w:rsidP="00E474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 učešćem i diskusijom</w:t>
            </w:r>
            <w:r w:rsidR="00E474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studenata;  seminari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7A9C" w:rsidRPr="00557A9C" w:rsidRDefault="00D05D23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(U prvoj polovini Modula 2 studenti polažu pismeni test (Parcijalni ispit 1.) - test sa 15 MCQs pitanja i pitanja sa kratkim odgovorima koji obuhvata obradjenu tematiku iz Modula 1-svaki tačan odgovor vrijedi 1 bod, odn. student može ostvariti maksimalno 15 bodova. U prvoj polovini Modula 3 studenti polažu pismeni test (Parcijalni ispit 2.) - test sa 15 MCQs pitanja i pitanja sa kratkim odgovorima - koji obuhvata obradjenu tematiku iz Modula 2-svaki tačan odgovor vrijedi 1 bod, odn. student može ostvariti maksimalno 15 bodova. Oba testa studenti polažu istovremeno čime je postignuta ujednačenost nivoa znanja koje se testira, kao i uslovi pod kojima student polaže ispit.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su dužni izraditi grupni seminarski rad koji će obuhvatiti određenu tematiku iz sadržaja nastavnog predmeta. Seminarski rad se u elektronskoj formi predaje predmetnom nastavniku na pregled i ocjenu. U izradi grupnog seminarskog rada učestvuju svi studenti grupe, čije učešće se valorizira pojedinačno. Za urađeni seminarski rad student može ostvariti od 0 do 10 bodova. Također, za kontinuiranu prisutnost i aktivnost na predavanjima i vježbama u toku cijelog semestra student može ostvariti od 0 do 10 bodova.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je pismeni i sastoji se iz Praktičnog testa i Završnog testa. Pravo izlaska na završni ispit imaju studenti koji su uredno prisustvovali predavanjima i vježbama.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Praktični ispit – OSCE- (objektivni strukturirani klinički pregled) je ”stanica” sa check listom vezano za odredjeni klinički problem (anamneza, fizikalni pregled, menadžment odredjenog kliničkog problema) koja ima 10 pitanja i svako pitanje vrijedi 1 bod, odn. student može ostvariti maksimalno 10 bodova, a minimalno 6 bodova.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pismeni test se sastoji od 20 pitanja, svaki tačan odgovor vrijedi 2 boda. Da bi se test smatrao položenim,  student treba ostvariti minimalno 24 boda. Maksimalan broj bodova na završnom testu je 40.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 svake pojedinačne provjere i iznosi najmanje 60% ukupno predviđenog i/ili traženog znanja i vještina.</w:t>
            </w:r>
          </w:p>
          <w:p w:rsidR="00CB72ED" w:rsidRPr="00B96B4F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Da bi student položio predmet mora ostvariti minimalno 54 kumulativna boda, od čega minimalno 24 boda na završnom testu. 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7A9C" w:rsidRPr="00557A9C" w:rsidRDefault="00D05D23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Ocjena na ispitu zasnovana je na ukupnom broju bodova koje je student stekao ispunjavanjem predispitnih obaveza i polaganjem ispita i sadrži maksimalno 100 bodova, te se utvrđuje prema slijedećoj skali: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studenta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Bodovi     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Prisutnost na predavanjima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 5     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vježbama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5 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</w:t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E474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Parcijalni ispit 1. i 2.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="00E474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30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Ukupno predispitne obaveze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4744B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ispit: Praktični </w:t>
            </w:r>
            <w:r w:rsidR="00FB67A3">
              <w:rPr>
                <w:rFonts w:asciiTheme="majorHAnsi" w:hAnsiTheme="majorHAnsi" w:cs="Arial"/>
                <w:b/>
                <w:sz w:val="18"/>
                <w:szCs w:val="18"/>
              </w:rPr>
              <w:t>tes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t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474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67A3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</w:p>
          <w:p w:rsidR="00557A9C" w:rsidRPr="00557A9C" w:rsidRDefault="00557A9C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</w:t>
            </w:r>
            <w:r w:rsidR="00E4744B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test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bookmarkStart w:id="3" w:name="_GoBack"/>
            <w:bookmarkEnd w:id="3"/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40              </w:t>
            </w:r>
          </w:p>
          <w:p w:rsidR="001312F2" w:rsidRDefault="001312F2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B72ED" w:rsidRPr="00B96B4F" w:rsidRDefault="00557A9C" w:rsidP="00A62BC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Raspon bodova za konačnu ocjenu iznosi: 5</w:t>
            </w:r>
            <w:r w:rsidR="00A62BC0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557A9C">
              <w:rPr>
                <w:rFonts w:asciiTheme="majorHAnsi" w:hAnsiTheme="majorHAnsi" w:cs="Arial"/>
                <w:b/>
                <w:sz w:val="18"/>
                <w:szCs w:val="18"/>
              </w:rPr>
              <w:t>-64 bod= 6 (šest); 65-74 bod= 7 (sedam); 75-84 bod= 8 (osam); 85-94 bod= 9 (devet); 95-100 bod= 10 (deset)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Beganlić A, Batić-Mujanović O i sur. Porodična medicina. Tuzla: 2018.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7A9C" w:rsidRDefault="00D05D23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312F2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>Diminić I, Katić M, Bergman Marković B, Batić-Mujanović O i sur. Izazovi u praksi obiteljskog liječnika. Zagreb:</w:t>
            </w:r>
          </w:p>
          <w:p w:rsidR="00557A9C" w:rsidRDefault="001312F2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</w:t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>Medicinska naklada, 2022.</w:t>
            </w:r>
          </w:p>
          <w:p w:rsidR="00C23356" w:rsidRPr="00C23356" w:rsidRDefault="001312F2" w:rsidP="00557A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Batić-Mujanović O. i sur. Prevencija hroničnih nezaraznih bolesti u porodičnoj medicini. Tuzla: 2016.</w:t>
            </w:r>
          </w:p>
          <w:p w:rsidR="00CB72ED" w:rsidRPr="00B96B4F" w:rsidRDefault="001312F2" w:rsidP="00C2335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3. </w:t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Katić M, Švab </w:t>
            </w:r>
            <w:r w:rsidR="00557A9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557A9C" w:rsidRPr="00557A9C">
              <w:rPr>
                <w:rFonts w:asciiTheme="majorHAnsi" w:hAnsiTheme="majorHAnsi" w:cs="Arial"/>
                <w:b/>
                <w:sz w:val="18"/>
                <w:szCs w:val="18"/>
              </w:rPr>
              <w:t xml:space="preserve"> i sur. Obiteljska medicina. Zagreb: Alfa, 2013.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00D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20</w:t>
            </w:r>
            <w:r w:rsidR="00C23356">
              <w:rPr>
                <w:rFonts w:asciiTheme="majorHAnsi" w:hAnsiTheme="majorHAnsi" w:cs="Arial"/>
                <w:b/>
                <w:sz w:val="18"/>
                <w:szCs w:val="18"/>
              </w:rPr>
              <w:t>24</w:t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r w:rsidR="00C23356">
              <w:rPr>
                <w:rFonts w:asciiTheme="majorHAnsi" w:hAnsiTheme="majorHAnsi" w:cs="Arial"/>
                <w:b/>
                <w:sz w:val="18"/>
                <w:szCs w:val="18"/>
              </w:rPr>
              <w:t>25</w:t>
            </w:r>
            <w:r w:rsidR="00C23356" w:rsidRPr="00C23356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600D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1A0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00D6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71A0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71A0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3356" w:rsidRPr="00271A09">
              <w:rPr>
                <w:rFonts w:asciiTheme="majorHAnsi" w:hAnsiTheme="majorHAnsi" w:cs="Arial"/>
                <w:b/>
                <w:spacing w:val="33"/>
                <w:sz w:val="18"/>
                <w:szCs w:val="18"/>
              </w:rPr>
              <w:t>16.05.2024</w:t>
            </w:r>
            <w:r w:rsidR="00C23356" w:rsidRPr="00271A09">
              <w:rPr>
                <w:rFonts w:asciiTheme="majorHAnsi" w:hAnsiTheme="majorHAnsi" w:cs="Arial"/>
                <w:b/>
                <w:spacing w:val="5"/>
                <w:sz w:val="18"/>
                <w:szCs w:val="18"/>
              </w:rPr>
              <w:t>.</w:t>
            </w:r>
            <w:r w:rsidRPr="00271A09">
              <w:rPr>
                <w:rFonts w:asciiTheme="majorHAnsi" w:hAnsiTheme="majorHAnsi" w:cs="Arial"/>
                <w:b/>
                <w:spacing w:val="5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74" w:rsidRDefault="00D52574">
      <w:pPr>
        <w:spacing w:line="240" w:lineRule="auto"/>
      </w:pPr>
      <w:r>
        <w:separator/>
      </w:r>
    </w:p>
  </w:endnote>
  <w:endnote w:type="continuationSeparator" w:id="0">
    <w:p w:rsidR="00D52574" w:rsidRDefault="00D52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B67A3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B67A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B67A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74" w:rsidRDefault="00D52574">
      <w:pPr>
        <w:spacing w:after="0"/>
      </w:pPr>
      <w:r>
        <w:separator/>
      </w:r>
    </w:p>
  </w:footnote>
  <w:footnote w:type="continuationSeparator" w:id="0">
    <w:p w:rsidR="00D52574" w:rsidRDefault="00D525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312F2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76FEB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0B86"/>
    <w:rsid w:val="00252D30"/>
    <w:rsid w:val="0026034D"/>
    <w:rsid w:val="00263142"/>
    <w:rsid w:val="00271A09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D6B2A"/>
    <w:rsid w:val="002E384F"/>
    <w:rsid w:val="002E7CE9"/>
    <w:rsid w:val="002F0375"/>
    <w:rsid w:val="002F589C"/>
    <w:rsid w:val="0030352C"/>
    <w:rsid w:val="00304843"/>
    <w:rsid w:val="00306711"/>
    <w:rsid w:val="00307B3D"/>
    <w:rsid w:val="0031229E"/>
    <w:rsid w:val="00312F9C"/>
    <w:rsid w:val="00313F3E"/>
    <w:rsid w:val="003208AA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8A7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165B1"/>
    <w:rsid w:val="00421AB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0CE2"/>
    <w:rsid w:val="00541C17"/>
    <w:rsid w:val="005443B1"/>
    <w:rsid w:val="00546F6E"/>
    <w:rsid w:val="00552AE0"/>
    <w:rsid w:val="0055354F"/>
    <w:rsid w:val="00557A9C"/>
    <w:rsid w:val="00561F8D"/>
    <w:rsid w:val="0056251F"/>
    <w:rsid w:val="005671EA"/>
    <w:rsid w:val="00573797"/>
    <w:rsid w:val="00573E44"/>
    <w:rsid w:val="00573FB4"/>
    <w:rsid w:val="0057415D"/>
    <w:rsid w:val="005767A4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37D5"/>
    <w:rsid w:val="005C4D48"/>
    <w:rsid w:val="005C70FC"/>
    <w:rsid w:val="005D1421"/>
    <w:rsid w:val="005D6DDF"/>
    <w:rsid w:val="005E141C"/>
    <w:rsid w:val="005E1CC7"/>
    <w:rsid w:val="005F486C"/>
    <w:rsid w:val="00600D6A"/>
    <w:rsid w:val="00605B52"/>
    <w:rsid w:val="00612005"/>
    <w:rsid w:val="00620875"/>
    <w:rsid w:val="00624D64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96EC8"/>
    <w:rsid w:val="006A4F11"/>
    <w:rsid w:val="006A5891"/>
    <w:rsid w:val="006A5BA7"/>
    <w:rsid w:val="006A6ED1"/>
    <w:rsid w:val="006B41A2"/>
    <w:rsid w:val="006D2A90"/>
    <w:rsid w:val="006D6AB0"/>
    <w:rsid w:val="006D7275"/>
    <w:rsid w:val="006E1A2B"/>
    <w:rsid w:val="006E2002"/>
    <w:rsid w:val="006E6385"/>
    <w:rsid w:val="006F0F2B"/>
    <w:rsid w:val="006F4DEE"/>
    <w:rsid w:val="006F6976"/>
    <w:rsid w:val="006F7976"/>
    <w:rsid w:val="00724077"/>
    <w:rsid w:val="00726A6B"/>
    <w:rsid w:val="00732054"/>
    <w:rsid w:val="007322C4"/>
    <w:rsid w:val="00736FAD"/>
    <w:rsid w:val="00740742"/>
    <w:rsid w:val="0074273A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167AD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1EF2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23E85"/>
    <w:rsid w:val="00A444A5"/>
    <w:rsid w:val="00A46BCD"/>
    <w:rsid w:val="00A46F79"/>
    <w:rsid w:val="00A470BC"/>
    <w:rsid w:val="00A47B1E"/>
    <w:rsid w:val="00A51A43"/>
    <w:rsid w:val="00A60F63"/>
    <w:rsid w:val="00A62BC0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15DC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23356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2574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4744B"/>
    <w:rsid w:val="00E556A7"/>
    <w:rsid w:val="00E57312"/>
    <w:rsid w:val="00E61D59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328B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67A3"/>
    <w:rsid w:val="00FC2571"/>
    <w:rsid w:val="00FC2E10"/>
    <w:rsid w:val="00FC3321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A62E-97AA-428C-BFD5-A0E58B63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16</cp:revision>
  <cp:lastPrinted>2024-06-05T08:22:00Z</cp:lastPrinted>
  <dcterms:created xsi:type="dcterms:W3CDTF">2024-05-28T07:09:00Z</dcterms:created>
  <dcterms:modified xsi:type="dcterms:W3CDTF">2025-11-11T14:57:00Z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