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Bioetika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4240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A01B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A01B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644DE4"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644DE4"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44DE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479C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Odsjek zdravstvenih studija/ S</w:t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vi studijski programi/ II ciklus studija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Prof. dr. sc Rifat Kešetović,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5CE1" w:rsidRPr="00C55CE1">
              <w:rPr>
                <w:rFonts w:asciiTheme="majorHAnsi" w:hAnsiTheme="majorHAnsi" w:cs="Arial"/>
                <w:b/>
                <w:sz w:val="18"/>
                <w:szCs w:val="18"/>
              </w:rPr>
              <w:t>Cilj nastave je da se studenti upoznaju sa osnovama, sadržajem i metodama rada u oblasti mlade naučne discipline, u mjeri koja im omogućava da shvate medicinski i društveni značaj bioetike, te da upoznaju osnovne deontološke smjernice u odnosu na svakodnevna pitanja vezana za zdravstvenu skrb i medicinsku profesiju.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5CE1" w:rsidRPr="00C55CE1">
              <w:rPr>
                <w:rFonts w:asciiTheme="majorHAnsi" w:hAnsiTheme="majorHAnsi" w:cs="Arial"/>
                <w:b/>
                <w:sz w:val="18"/>
                <w:szCs w:val="18"/>
              </w:rPr>
              <w:t>Usvojiti vještinu prepoznavanja specifičnih etičkih problema vezanih za zdravstvenu skrb, te primjena važećih etičkih i dentoloških normi u svakodnevnom radu.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55CE1" w:rsidRPr="00C55CE1" w:rsidRDefault="00D05D23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5CE1" w:rsidRPr="00C55CE1">
              <w:rPr>
                <w:rFonts w:asciiTheme="majorHAnsi" w:hAnsiTheme="majorHAnsi" w:cs="Arial"/>
                <w:b/>
                <w:sz w:val="18"/>
                <w:szCs w:val="18"/>
              </w:rPr>
              <w:t>1: Historijat bioetike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2: Laička bioetika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3: Filozofske perspektive u bioetici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4: Najvažnija stajališta oko definicije bioetike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5: Razvojna preobrazba bioetike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6: Integrativna bioetika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7: Genetski inženjering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8: Kloniranje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9: Međunarodni kodeks medicinske etike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10: Moždana smrt, vještačko održavanje života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11: Deontologija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12: Čedomorstvo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13: Pobačaj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14: Transplantacija</w:t>
            </w:r>
          </w:p>
          <w:p w:rsidR="00CB72ED" w:rsidRPr="00B96B4F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15: Eutanazija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55CE1" w:rsidRPr="00C55CE1" w:rsidRDefault="00D05D23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5CE1" w:rsidRPr="00C55CE1">
              <w:rPr>
                <w:rFonts w:asciiTheme="majorHAnsi" w:hAnsiTheme="majorHAnsi" w:cs="Arial"/>
                <w:b/>
                <w:sz w:val="18"/>
                <w:szCs w:val="18"/>
              </w:rPr>
              <w:t>Metode izvođenja nastave su: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interaktivna, teoretska nastava, konkretno iskustvo, PBL (problem based learning), konsultacije</w:t>
            </w:r>
          </w:p>
          <w:p w:rsidR="00CB72ED" w:rsidRPr="00B96B4F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 uz aktivno učešće studenata.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55CE1" w:rsidRPr="00C55CE1" w:rsidRDefault="00D05D23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5CE1"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OSVAJANJE BODOVA U TOKU I NA KRAJU SEMESTRA 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1. Seminarski rad, studija slučaja 10 - 30 bodova   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4. Prisustvo nastavi - 5-20 bodova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4.  Pismeni završni ispit (ukupno gradivo) - 50 bodova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Ukupno:   100 bodova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Predispitne aktivnosti i praktični ispit nose 50 bodova Završni ispit nosi 50 bodova.</w:t>
            </w: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55CE1" w:rsidRPr="00C55CE1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Završni ispit se polaže pismeno.</w:t>
            </w:r>
          </w:p>
          <w:p w:rsidR="00CB72ED" w:rsidRPr="00B96B4F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55 kumulativna boda od čega minimalno 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na završnom usmenom ispitu.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>Ukoliko student za vrijeme ispita bude prepisivao, bit će odmah udaljen sa ispita, a njegov rad se neće bodovati, nakon čega slijedi poduzimanje odgovarajućih mjera u skladu sa zakonskim odlukama.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55CE1" w:rsidRPr="00C55CE1" w:rsidRDefault="00D05D23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5CE1" w:rsidRPr="00C55CE1">
              <w:rPr>
                <w:rFonts w:asciiTheme="majorHAnsi" w:hAnsiTheme="majorHAnsi" w:cs="Arial"/>
                <w:b/>
                <w:sz w:val="18"/>
                <w:szCs w:val="18"/>
              </w:rPr>
              <w:t>Ehlimana Salihbegović. Medicinska praksa i etičko pitanje Sarajevo: Ministarstvo zdravstva Kantona Sarajevo,</w:t>
            </w:r>
          </w:p>
          <w:p w:rsidR="00CB72ED" w:rsidRPr="00B96B4F" w:rsidRDefault="00C55CE1" w:rsidP="00C55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5CE1">
              <w:rPr>
                <w:rFonts w:asciiTheme="majorHAnsi" w:hAnsiTheme="majorHAnsi" w:cs="Arial"/>
                <w:b/>
                <w:sz w:val="18"/>
                <w:szCs w:val="18"/>
              </w:rPr>
              <w:t xml:space="preserve">2008.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5CE1" w:rsidRPr="00C55CE1">
              <w:rPr>
                <w:rFonts w:asciiTheme="majorHAnsi" w:hAnsiTheme="majorHAnsi" w:cs="Arial"/>
                <w:b/>
                <w:sz w:val="18"/>
                <w:szCs w:val="18"/>
              </w:rPr>
              <w:t>Michaele Aramini. Uvod u bioetiku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C55CE1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C55CE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644DE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05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A5050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A50505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A50505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0505" w:rsidRPr="00A50505">
              <w:rPr>
                <w:rFonts w:asciiTheme="majorHAnsi" w:hAnsiTheme="majorHAnsi" w:cs="Arial"/>
                <w:b/>
                <w:spacing w:val="7"/>
                <w:w w:val="88"/>
                <w:sz w:val="18"/>
                <w:szCs w:val="18"/>
              </w:rPr>
              <w:t>22.12.2025. god</w:t>
            </w:r>
            <w:r w:rsidR="00A50505" w:rsidRPr="00A50505">
              <w:rPr>
                <w:rFonts w:asciiTheme="majorHAnsi" w:hAnsiTheme="majorHAnsi" w:cs="Arial"/>
                <w:b/>
                <w:spacing w:val="8"/>
                <w:w w:val="88"/>
                <w:sz w:val="18"/>
                <w:szCs w:val="18"/>
              </w:rPr>
              <w:t>.</w:t>
            </w:r>
            <w:r w:rsidRPr="00A50505">
              <w:rPr>
                <w:rFonts w:asciiTheme="majorHAnsi" w:hAnsiTheme="majorHAnsi" w:cs="Arial"/>
                <w:b/>
                <w:spacing w:val="8"/>
                <w:w w:val="88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1B5" w:rsidRDefault="004A01B5">
      <w:pPr>
        <w:spacing w:line="240" w:lineRule="auto"/>
      </w:pPr>
      <w:r>
        <w:separator/>
      </w:r>
    </w:p>
  </w:endnote>
  <w:endnote w:type="continuationSeparator" w:id="0">
    <w:p w:rsidR="004A01B5" w:rsidRDefault="004A0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50505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1B5" w:rsidRDefault="004A01B5">
      <w:pPr>
        <w:spacing w:after="0"/>
      </w:pPr>
      <w:r>
        <w:separator/>
      </w:r>
    </w:p>
  </w:footnote>
  <w:footnote w:type="continuationSeparator" w:id="0">
    <w:p w:rsidR="004A01B5" w:rsidRDefault="004A01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51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20E8"/>
    <w:rsid w:val="001A61D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240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58CE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01B5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1127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F486C"/>
    <w:rsid w:val="00612005"/>
    <w:rsid w:val="00612560"/>
    <w:rsid w:val="00620875"/>
    <w:rsid w:val="00624E83"/>
    <w:rsid w:val="00626065"/>
    <w:rsid w:val="006311E3"/>
    <w:rsid w:val="00631643"/>
    <w:rsid w:val="00633494"/>
    <w:rsid w:val="006339CD"/>
    <w:rsid w:val="00644DE4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694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0505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479C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55CE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1FE7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044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38EF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2927-2369-446B-941D-3F5CC2A4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13</cp:revision>
  <cp:lastPrinted>2024-03-19T08:24:00Z</cp:lastPrinted>
  <dcterms:created xsi:type="dcterms:W3CDTF">2025-12-01T17:04:00Z</dcterms:created>
  <dcterms:modified xsi:type="dcterms:W3CDTF">2025-12-24T08:47:00Z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