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1E21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Život prije rođenja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E211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E211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1E211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1E211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1E211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1E211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1E211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1E211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1E2115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B730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B730D">
              <w:rPr>
                <w:rFonts w:asciiTheme="majorHAnsi" w:hAnsiTheme="majorHAnsi"/>
                <w:b/>
                <w:sz w:val="18"/>
                <w:szCs w:val="18"/>
              </w:rPr>
              <w:t>33,75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1E211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15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B730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F3A07">
              <w:rPr>
                <w:rFonts w:asciiTheme="majorHAnsi" w:hAnsiTheme="majorHAnsi" w:cs="Arial"/>
                <w:b/>
                <w:sz w:val="18"/>
                <w:szCs w:val="18"/>
              </w:rPr>
              <w:t>54.67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1E211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1E2115">
              <w:rPr>
                <w:rFonts w:asciiTheme="majorHAnsi" w:hAnsiTheme="majorHAnsi"/>
                <w:b/>
                <w:sz w:val="18"/>
                <w:szCs w:val="18"/>
              </w:rPr>
              <w:t xml:space="preserve"> 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B730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F3A07">
              <w:rPr>
                <w:rFonts w:asciiTheme="majorHAnsi" w:hAnsiTheme="majorHAnsi" w:cs="Arial"/>
                <w:b/>
                <w:sz w:val="18"/>
                <w:szCs w:val="18"/>
              </w:rPr>
              <w:t>88.42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2127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dr.sc. Suada Ramić, v</w:t>
            </w:r>
            <w:r w:rsidR="00B21271">
              <w:rPr>
                <w:rFonts w:asciiTheme="majorHAnsi" w:hAnsiTheme="majorHAnsi" w:cs="Arial"/>
                <w:b/>
                <w:sz w:val="18"/>
                <w:szCs w:val="18"/>
              </w:rPr>
              <w:t>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3150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Poznavanje osnovnih pojmova teratologije i djelovanja etiopatogenetskih teratogenih faktora ima za cilj spreŁavanje mog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ih posljedica tokom razvoja ploda. Na ovaj na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in studentima Medicinskog fakulteta je omogu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eno da upoznaju materiju koja 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će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 im koristiti za dalje studije i da se upoznaju sa anomalijama razvoja sa kojima</w:t>
            </w:r>
            <w:r w:rsidR="003150B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e se 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susretati u praksi.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E21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semestra/kursa uspješni studenti, koji su tokom 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itavog nastavnog perioda kontinuirano obavljali svoje obaveze, 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e biti osposobljeni da: prate i razumiju specifi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ne medicinske discipline, kao što su ginekologija, porodiljstvo, pedijatrija, plasti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na hirurgija i da povežu znanje iz embriologije s klini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kom praksom.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3150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Normalni parametri embrionalnog i fetalnog razvoja. 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G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ra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a gameta i uloga koju imaju u procesu oplodnje. Proces gametogeneze i njene regulacije. Mehanizam oplodnje, mogu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nosti i uvjeti medicinski potpomognute oplodnje s posebnim osvrtom na doniranje jajnih 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elija i surogat maj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činstvo, te vezane 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specifi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ne eti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ke i zakonske probleme. Svojstva embrionalnih mati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nih 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elija i njihova primjena u regenerativnoj medicini. Zna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enje embrionalnih 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elija u otkrivanju zakonitosti embrionalnog razvoja. Ishrana zametka i posteljica. Dan u životu fetusa. Predstavljanje novih istraživanja koja pokazuju da fetus može osje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ati, sanjati pa 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ak i uživati. Histofiziologija posteljice. RH inkopatibilnost. </w:t>
            </w:r>
            <w:r w:rsidR="003150B5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mniocenteza. Medicinski i socijalni problemi anomalija razvoja. Izbor spola djeteta. Višeplodna trudno</w:t>
            </w:r>
            <w:r w:rsidR="001E211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a – sijamski blizanci</w:t>
            </w:r>
            <w:r w:rsidR="003150B5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2115" w:rsidRDefault="00D05D23" w:rsidP="001E21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Predavanja</w:t>
            </w:r>
          </w:p>
          <w:p w:rsidR="00CB72ED" w:rsidRPr="00B96B4F" w:rsidRDefault="001E2115" w:rsidP="008C3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 je u toku cijelog semestra obavezan dolaziti redovno na predavanja. Nastavnik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 tokom semestra pratiti prisutnost studenata</w:t>
            </w:r>
            <w:r w:rsidR="003150B5">
              <w:rPr>
                <w:rFonts w:asciiTheme="majorHAnsi" w:hAnsiTheme="majorHAnsi" w:cs="Arial"/>
                <w:b/>
                <w:sz w:val="18"/>
                <w:szCs w:val="18"/>
              </w:rPr>
              <w:t xml:space="preserve">, koja se boduje sa </w:t>
            </w:r>
            <w:r w:rsidR="008C36BE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3150B5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5 bodova, na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 osnovu urednosti poha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anja nastave.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2115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15" w:rsidRPr="001E2115">
              <w:rPr>
                <w:rFonts w:asciiTheme="majorHAnsi" w:hAnsiTheme="majorHAnsi" w:cs="Arial"/>
                <w:b/>
                <w:sz w:val="18"/>
                <w:szCs w:val="18"/>
              </w:rPr>
              <w:t>TESTIRANJE</w:t>
            </w:r>
          </w:p>
          <w:p w:rsidR="001E2115" w:rsidRDefault="001E21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 Testiranje tokom kursa održat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 se u 9 nedjelji zimskog semestra i obuhvata provjeru znanja iz slijede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ih metodskih jedinica: osnovne karakteristike razvoja - od oplodnje do ro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enja, razvoj humane embriologije i metode rada. Embrionalne mati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ne Ŀelije i regenerativna medicina. Zašto su jajne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elije ve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 i malobrojnije od spermatozoida. Embrionalni i fetalni period razvi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a. Ishrana zametka i lije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enje zastoja u rastu fetusa. Histofiziologija posteljice, RH inkopatibilija. Testovi za dokazivanje trudno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e. Amniocenteza i biopsija horionskih resica. Na testiranju student može ostvariti maksimalno 4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 ( pitanja sa 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nim odgovorom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/odgovorima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, pitanja sa dopunom 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enice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 esej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). Za uspješnost Testa student treba ostvariti minimalno 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boda. </w:t>
            </w:r>
          </w:p>
          <w:p w:rsidR="001E2115" w:rsidRDefault="001E21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</w:t>
            </w:r>
          </w:p>
          <w:p w:rsidR="00CB72ED" w:rsidRPr="00B96B4F" w:rsidRDefault="001E2115" w:rsidP="003150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Završni ispit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je pismeni ispit.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 Završni ispit obuhvata provjeru znanja iz slijede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ih metodskih jedinica: vantjelesna oplodnja, banka spermatozoida, doniranje jajnih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elija, surogat majka. Izbor spola djeteta. Anomalije razvoja. Višeplodna trudno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a, sijamski blizanci. Uticaj pušenja na tok i ishod trudno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 i razvoj djeteta. Pušenje i reproduktivno zdravlje. Dnevni ritam fetusa. Na pismenom završnom ispitu student može ostvariti maksimalno 50 bodova</w:t>
            </w:r>
            <w:r w:rsidR="003150B5">
              <w:rPr>
                <w:rFonts w:asciiTheme="majorHAnsi" w:hAnsiTheme="majorHAnsi" w:cs="Arial"/>
                <w:b/>
                <w:sz w:val="18"/>
                <w:szCs w:val="18"/>
              </w:rPr>
              <w:t xml:space="preserve"> a minimalno 27 bodova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 (pitanja sa ta</w:t>
            </w:r>
            <w:r w:rsidR="004F642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nim odgovorom, pitanja sa dopunom re</w:t>
            </w:r>
            <w:r w:rsidR="004F642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enice</w:t>
            </w:r>
            <w:r w:rsidR="004F6420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>esej</w:t>
            </w:r>
            <w:r w:rsidR="004F6420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Pr="001E2115">
              <w:rPr>
                <w:rFonts w:asciiTheme="majorHAnsi" w:hAnsiTheme="majorHAnsi" w:cs="Arial"/>
                <w:b/>
                <w:sz w:val="18"/>
                <w:szCs w:val="18"/>
              </w:rPr>
              <w:t xml:space="preserve">).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D2012" w:rsidRPr="00DD2012" w:rsidRDefault="00D05D23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8C36B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-64 bod= 6 (šest) E</w:t>
            </w:r>
          </w:p>
          <w:p w:rsid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 xml:space="preserve">65-74 bod= 7 (sedam)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75-84 bod= 8 (osam) C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85-94 bod= 9 (devet) B</w:t>
            </w:r>
          </w:p>
          <w:p w:rsidR="00CB72ED" w:rsidRPr="00B96B4F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95-100 bod= 10 (deset) A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F642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F6420" w:rsidRPr="004F6420">
              <w:rPr>
                <w:rFonts w:asciiTheme="majorHAnsi" w:hAnsiTheme="majorHAnsi" w:cs="Arial"/>
                <w:b/>
                <w:sz w:val="18"/>
                <w:szCs w:val="18"/>
              </w:rPr>
              <w:t xml:space="preserve">Sadler TW. Langmanova medicinska embriologija. Zagreb; Školska knjiga, </w:t>
            </w:r>
            <w:r w:rsidR="004F6420">
              <w:rPr>
                <w:rFonts w:asciiTheme="majorHAnsi" w:hAnsiTheme="majorHAnsi" w:cs="Arial"/>
                <w:b/>
                <w:sz w:val="18"/>
                <w:szCs w:val="18"/>
              </w:rPr>
              <w:t>2009.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4F6420">
              <w:rPr>
                <w:rFonts w:asciiTheme="majorHAnsi" w:hAnsiTheme="majorHAnsi" w:cs="Arial"/>
                <w:b/>
                <w:sz w:val="18"/>
                <w:szCs w:val="18"/>
              </w:rPr>
              <w:t>2024/25.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3150B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F3A07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3150B5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F3A07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F3A07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F3A07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     </w:t>
            </w:r>
            <w:r w:rsidR="004F6420" w:rsidRPr="00BF3A07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</w:t>
            </w:r>
            <w:r w:rsidR="003150B5" w:rsidRPr="00BF3A07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6</w:t>
            </w:r>
            <w:r w:rsidR="004F6420" w:rsidRPr="00BF3A07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.05.2024</w:t>
            </w:r>
            <w:r w:rsidR="004F6420" w:rsidRPr="00BF3A07">
              <w:rPr>
                <w:rFonts w:asciiTheme="majorHAnsi" w:hAnsiTheme="majorHAnsi" w:cs="Arial"/>
                <w:b/>
                <w:spacing w:val="14"/>
                <w:w w:val="91"/>
                <w:sz w:val="18"/>
                <w:szCs w:val="18"/>
              </w:rPr>
              <w:t>.</w:t>
            </w:r>
            <w:r w:rsidRPr="00BF3A07">
              <w:rPr>
                <w:rFonts w:asciiTheme="majorHAnsi" w:hAnsiTheme="majorHAnsi" w:cs="Arial"/>
                <w:b/>
                <w:spacing w:val="14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D8" w:rsidRDefault="00743CD8">
      <w:pPr>
        <w:spacing w:line="240" w:lineRule="auto"/>
      </w:pPr>
      <w:r>
        <w:separator/>
      </w:r>
    </w:p>
  </w:endnote>
  <w:endnote w:type="continuationSeparator" w:id="0">
    <w:p w:rsidR="00743CD8" w:rsidRDefault="00743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C36BE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C36BE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C36BE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D8" w:rsidRDefault="00743CD8">
      <w:pPr>
        <w:spacing w:after="0"/>
      </w:pPr>
      <w:r>
        <w:separator/>
      </w:r>
    </w:p>
  </w:footnote>
  <w:footnote w:type="continuationSeparator" w:id="0">
    <w:p w:rsidR="00743CD8" w:rsidRDefault="00743C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45A7D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115"/>
    <w:rsid w:val="001E2CEF"/>
    <w:rsid w:val="001F251C"/>
    <w:rsid w:val="001F6D8D"/>
    <w:rsid w:val="00202939"/>
    <w:rsid w:val="00205E97"/>
    <w:rsid w:val="00206A97"/>
    <w:rsid w:val="0022150F"/>
    <w:rsid w:val="00221C6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2F91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150B5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4F6420"/>
    <w:rsid w:val="00513852"/>
    <w:rsid w:val="00513EFB"/>
    <w:rsid w:val="005173B1"/>
    <w:rsid w:val="00522737"/>
    <w:rsid w:val="0052469E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43CD8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36F8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36BE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B4E09"/>
    <w:rsid w:val="009B730D"/>
    <w:rsid w:val="009C2896"/>
    <w:rsid w:val="009C43EF"/>
    <w:rsid w:val="009D2D51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A1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1271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2CF2"/>
    <w:rsid w:val="00BA4600"/>
    <w:rsid w:val="00BB0FE3"/>
    <w:rsid w:val="00BB2187"/>
    <w:rsid w:val="00BB2664"/>
    <w:rsid w:val="00BB7623"/>
    <w:rsid w:val="00BC7B04"/>
    <w:rsid w:val="00BD1DA1"/>
    <w:rsid w:val="00BE0ADF"/>
    <w:rsid w:val="00BE4648"/>
    <w:rsid w:val="00BE5891"/>
    <w:rsid w:val="00BE6D1F"/>
    <w:rsid w:val="00BF0BC5"/>
    <w:rsid w:val="00BF3A07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535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A611C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D2012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BDEC-B994-4A61-9972-FBFD0E0F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13</cp:revision>
  <cp:lastPrinted>2024-06-04T08:22:00Z</cp:lastPrinted>
  <dcterms:created xsi:type="dcterms:W3CDTF">2024-03-19T09:01:00Z</dcterms:created>
  <dcterms:modified xsi:type="dcterms:W3CDTF">2025-11-10T13:55:00Z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