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BD3E3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668C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0A19EB">
              <w:rPr>
                <w:rFonts w:asciiTheme="majorHAnsi" w:hAnsiTheme="majorHAnsi" w:cs="Arial"/>
                <w:b/>
                <w:sz w:val="18"/>
                <w:szCs w:val="18"/>
              </w:rPr>
              <w:t>estrinstvo zasnovano na dokazima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4558C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A2585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A2585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7730A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730A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7730A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7730A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Odsjek zdravstvenih studija/ Studijski program sestrinstva</w:t>
            </w:r>
            <w:r w:rsidR="0044558C">
              <w:rPr>
                <w:rFonts w:asciiTheme="majorHAnsi" w:hAnsiTheme="majorHAnsi" w:cs="Arial"/>
                <w:b/>
                <w:sz w:val="18"/>
                <w:szCs w:val="18"/>
              </w:rPr>
              <w:t>/II ciklus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730A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472F">
              <w:rPr>
                <w:rFonts w:asciiTheme="majorHAnsi" w:hAnsiTheme="majorHAnsi" w:cs="Arial"/>
                <w:b/>
                <w:sz w:val="18"/>
                <w:szCs w:val="18"/>
              </w:rPr>
              <w:t>Prof.dr</w:t>
            </w:r>
            <w:r w:rsid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sc. Olivera Batić-Mujanović, 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redovni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prof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2164" w:rsidRPr="001E2164" w:rsidRDefault="00D05D23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- Razviti interes za primjenu sestrinstva zasnovanog na dokazima: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Ovladati praktičnim smjernicama za pružanje zdravstvene njege u različitim bolestima, upoznavanje baza podataka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s najboljim naučnim dokazima iz pojedinog područja koje uređuju posebni stručnjaci i koje se stalno nadopunjuju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  novim podacima, medicinskih časopisa i priručne literature s najnovijim objektivnim podacima;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Pronalaziti odgovore na pitanja na koja ne postoje intuitivni odgovori ili za koja naša klinička zapažanja mogu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uzrokovati više štete nego koristi; </w:t>
            </w:r>
          </w:p>
          <w:p w:rsidR="00CB72ED" w:rsidRPr="00B96B4F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Upoznati postupke  u sestrinstvu.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2164" w:rsidRPr="001E2164" w:rsidRDefault="00D05D23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 tokom čitavog nastavnog perioda kontinuirano obavljali svoje obaveze, će biti osposobljeni za: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Izračunavanje i analiza statističkih pokazatelja;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Upoređivanje činjenica iz medicinskih publikacija;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Analizu medicinske literature;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Izradu dizajna istraživanja;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Provođenje randomiziranih kliničkih istraživanja,naučnog integriteta i odgovorno provođenje istraživanja;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Identificiranje grešaka u zdravstvu;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Provođenje analiza isplativosti;</w:t>
            </w:r>
          </w:p>
          <w:p w:rsidR="00CB72ED" w:rsidRPr="00B96B4F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Analizu prognostičkih pokazatelja;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2164" w:rsidRPr="001E2164" w:rsidRDefault="00D05D23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1.   Istorija sestrinstva zasnovanog na činjenicama. 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2.   Dizajn istraživanja i snaga dokaza.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3.   Pregled medicinskih publikacija.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4.   Pretraživanje medicinske literature.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5.   Sestrinstvo i statistika. Uzročnost.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6.   Randomizirana klinička istraživanja.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7.   Meta-analiza i sistematski pregledi.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8.   Naučni integritet i odgovorno provođenje istraživanja.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9.   Primjenjivost i snaga činjenica. Prezentacija činjenica pacijentima.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10. Analize isplativosti. Analize preživljavanja i ispitivanje prognoze.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11. Donošenje odluka u sestrinstvu.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12. Uzroci grešaka u zdravstvenom okruženju na svim nivoima zdravstvene zaštite.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13. Upotreba dijagnostičkih testova.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14. Vodiči za praksu i pravila kliničkog predviđanja. </w:t>
            </w:r>
          </w:p>
          <w:p w:rsidR="00CB72ED" w:rsidRPr="00B96B4F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15. Prikaz odabranih publikacija iz sestrinstva zasnovanog na dokazima i primjene rezultata istih u sistemu zdravstvene njege.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2164" w:rsidRPr="001E2164" w:rsidRDefault="00D05D23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>- Predavanja  uz upotrebu multimedijalnih sredstava, tehnika aktivnog učenja i uz aktivno učešće i diskusije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studenata;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Priprema i izlaganje i individualnih seminarskih radova;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Diskusija o vrstama naučnih istraživanja;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Zajednička analiza i diskusija naučno-istraživačkih radova;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Priprema i izlaganje i individualnih analiza naučno-istraživačkog rada;</w:t>
            </w:r>
          </w:p>
          <w:p w:rsidR="00CB72ED" w:rsidRPr="00B96B4F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- Diskusija o načinu pisanja projekta magistarskog rada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96D6D" w:rsidRDefault="00D05D23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>U sklopu predispitnih obaveza studenti su dužni prisustvovati predavanjima (</w:t>
            </w:r>
            <w:r w:rsidR="00E64675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5 bodova za urednost pohađanja nastave i maksimalno 5 bodova za aktivnost studenata: ukupno 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>od 0-10</w:t>
            </w:r>
            <w:r w:rsidR="00E64675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>).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Također su dužni izraditi individualni  seminarski rad koji će obuhvatiti određenu tematiku iz sadržaja nastavnog predmeta. Seminarski rad se u elektronskoj formi predaje predmetnom nastavniku na pregled i ocjenu, a zatim se prezentira usmeno. Za urađen i prezentiran seminarski rad student može ostvariti od 0 do 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0 bodova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>, minimalno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 xml:space="preserve"> 12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U toku predispitnih aktivnosti studenti trebaju 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>uraditi Kolokvij - pismena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analiz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>primarne publikacije (originalni n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aučno-istraživački rad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i prezent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>irati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ga usmeno. 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>Maksimalni b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roj bodova koje student može osvojiti 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>na Kolokviju je 20, a minimalno 12 bodova da bi se Kolokvij smatrao položenim.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Nakon završenog semestra studenti pismeno polažu</w:t>
            </w:r>
            <w:r w:rsidR="00E64675">
              <w:rPr>
                <w:rFonts w:asciiTheme="majorHAnsi" w:hAnsiTheme="majorHAnsi" w:cs="Arial"/>
                <w:b/>
                <w:sz w:val="18"/>
                <w:szCs w:val="18"/>
              </w:rPr>
              <w:t xml:space="preserve"> završni ispit koji se sastoji iz parcijalnog ispita i završnog testa.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64675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>arcijalni</w:t>
            </w:r>
            <w:r w:rsidR="00E64675">
              <w:rPr>
                <w:rFonts w:asciiTheme="majorHAnsi" w:hAnsiTheme="majorHAnsi" w:cs="Arial"/>
                <w:b/>
                <w:sz w:val="18"/>
                <w:szCs w:val="18"/>
              </w:rPr>
              <w:t xml:space="preserve"> ispit je provjera znanja 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 xml:space="preserve">iz </w:t>
            </w:r>
            <w:r w:rsidR="00E64675">
              <w:rPr>
                <w:rFonts w:asciiTheme="majorHAnsi" w:hAnsiTheme="majorHAnsi" w:cs="Arial"/>
                <w:b/>
                <w:sz w:val="18"/>
                <w:szCs w:val="18"/>
              </w:rPr>
              <w:t xml:space="preserve">nastavnih jedinica 1-7 i 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 xml:space="preserve">sastoji od 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82417D">
              <w:rPr>
                <w:rFonts w:asciiTheme="majorHAnsi" w:hAnsiTheme="majorHAnsi" w:cs="Arial"/>
                <w:b/>
                <w:sz w:val="18"/>
                <w:szCs w:val="18"/>
              </w:rPr>
              <w:t xml:space="preserve"> pitanja 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 xml:space="preserve">višestrukog izbora 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 xml:space="preserve">(MSQ) 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i pitanja sa kratkim odgovorom. Sv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aki tačan odgovor boduje se sa 2 boda, odnosno, student može ostvariti maksimalno 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096D6D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Da bi se 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parcijalni ispit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smatrao položenim, student mora ostavariti minimalno 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12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Test polažu svi studenti na predmetu istovremeno čime je postignuta ujednačenost nivoa znanja koje se testira, kao i uslovi pod kojima student polaže ispit.  </w:t>
            </w:r>
          </w:p>
          <w:p w:rsidR="00C52EC9" w:rsidRPr="00C52EC9" w:rsidRDefault="00C52EC9" w:rsidP="00C52E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2EC9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test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obuhvata gradivo nastavnih jedinica 8-15. S</w:t>
            </w:r>
            <w:r w:rsidRPr="00C52EC9">
              <w:rPr>
                <w:rFonts w:asciiTheme="majorHAnsi" w:hAnsiTheme="majorHAnsi" w:cs="Arial"/>
                <w:b/>
                <w:sz w:val="18"/>
                <w:szCs w:val="18"/>
              </w:rPr>
              <w:t>astoji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se</w:t>
            </w:r>
            <w:r w:rsidRPr="00C52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od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15</w:t>
            </w:r>
            <w:r w:rsidRPr="00C52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pitanja višestrukog izbora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 xml:space="preserve"> (MSQ)</w:t>
            </w:r>
            <w:r w:rsidRPr="00C52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i pitanja sa kratkim odgovorom. Svaki tačan odgovor boduje se sa 2 boda, odnosno, student može ostvariti maksimalno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30</w:t>
            </w:r>
            <w:r w:rsidRPr="00C52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Da bi se završni test smatrao položenim, student mora ostvariti minimalno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18</w:t>
            </w:r>
            <w:r w:rsidRPr="00C52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Test polažu svi studenti na predmetu istovremeno čime je postignuta ujednačenost nivoa znanja koje se testira, kao i uslovi pod kojima student polaže ispit.  </w:t>
            </w:r>
          </w:p>
          <w:p w:rsidR="00096D6D" w:rsidRDefault="00C52EC9" w:rsidP="00C52E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2EC9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Provjere na svim oblicima znanja priznaju se kao kumulativni ispit ukoliko je postignuti rezultat pozitivan nakon svake pojedinačne provjere i iznosi najmanje 60% ukupno predviđenog i/ili traženog znanja i vještina. </w:t>
            </w:r>
          </w:p>
          <w:p w:rsidR="00C52EC9" w:rsidRPr="00C52EC9" w:rsidRDefault="00C52EC9" w:rsidP="00C52E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52EC9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55 kumulativnih bodova.</w:t>
            </w:r>
          </w:p>
          <w:p w:rsidR="00CB72ED" w:rsidRPr="00B96B4F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Popravni ispit polažu studenti koji nisu zadovoljili minimalni broj bodova. Popravni ispit je pismeni i odvija se po prethodno definiranim kriterijima kumulativnog završnog ispita.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2164" w:rsidRPr="001E2164" w:rsidRDefault="00D05D23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Ocjena studenta na ispitu zasnovana je na ukupnom broju bodova koje je student stekao ispunjavanjem predispitnih obaveza i polaganjem 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>završnog ispita (</w:t>
            </w:r>
            <w:r w:rsidR="00E36034">
              <w:rPr>
                <w:rFonts w:asciiTheme="majorHAnsi" w:hAnsiTheme="majorHAnsi" w:cs="Arial"/>
                <w:b/>
                <w:sz w:val="18"/>
                <w:szCs w:val="18"/>
              </w:rPr>
              <w:t>parcijaln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E36034">
              <w:rPr>
                <w:rFonts w:asciiTheme="majorHAnsi" w:hAnsiTheme="majorHAnsi" w:cs="Arial"/>
                <w:b/>
                <w:sz w:val="18"/>
                <w:szCs w:val="18"/>
              </w:rPr>
              <w:t xml:space="preserve"> ispit i 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>završn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test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. Sadrži maksimalno 100 bodova, prema skali: </w:t>
            </w:r>
          </w:p>
          <w:p w:rsidR="00E64675" w:rsidRDefault="00E64675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E64675" w:rsidRDefault="00E64675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Predispitne aktivnosti studenata                                                             Bodovi</w:t>
            </w:r>
          </w:p>
          <w:p w:rsidR="001E2164" w:rsidRPr="001E2164" w:rsidRDefault="00E64675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Urednost pohađanja nastave i aktivnost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C9415E">
              <w:rPr>
                <w:rFonts w:asciiTheme="majorHAnsi" w:hAnsiTheme="majorHAnsi" w:cs="Arial"/>
                <w:b/>
                <w:sz w:val="18"/>
                <w:szCs w:val="18"/>
              </w:rPr>
              <w:t xml:space="preserve"> (5+5)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</w:t>
            </w:r>
            <w:r w:rsid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</w:t>
            </w:r>
          </w:p>
          <w:p w:rsidR="001E2164" w:rsidRPr="001E2164" w:rsidRDefault="00E64675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eminarski rad                                                                                        </w:t>
            </w:r>
            <w:r w:rsid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</w:t>
            </w:r>
            <w:r w:rsid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="00E36034">
              <w:rPr>
                <w:rFonts w:asciiTheme="majorHAnsi" w:hAnsiTheme="majorHAnsi" w:cs="Arial"/>
                <w:b/>
                <w:sz w:val="18"/>
                <w:szCs w:val="18"/>
              </w:rPr>
              <w:t>20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</w:t>
            </w:r>
          </w:p>
          <w:p w:rsidR="001E2164" w:rsidRPr="001E2164" w:rsidRDefault="00E3603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Kolokvij                                       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          </w:t>
            </w:r>
            <w:r w:rsid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20</w:t>
            </w:r>
          </w:p>
          <w:p w:rsidR="001E2164" w:rsidRPr="001E2164" w:rsidRDefault="001E216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>Predispitne obaveze studenata                                                                     50</w:t>
            </w:r>
          </w:p>
          <w:p w:rsidR="00E36034" w:rsidRDefault="00E3603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E64675" w:rsidRDefault="00E64675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Završni ispit</w:t>
            </w:r>
          </w:p>
          <w:p w:rsidR="00E36034" w:rsidRDefault="00E36034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Parcijalni ispit                                                                                                       20</w:t>
            </w:r>
          </w:p>
          <w:p w:rsidR="00E36034" w:rsidRDefault="001E2164" w:rsidP="00E3603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test                                                                   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</w:t>
            </w: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</w:t>
            </w:r>
            <w:r w:rsidR="00E36034">
              <w:rPr>
                <w:rFonts w:asciiTheme="majorHAnsi" w:hAnsiTheme="majorHAnsi" w:cs="Arial"/>
                <w:b/>
                <w:sz w:val="18"/>
                <w:szCs w:val="18"/>
              </w:rPr>
              <w:t>30</w:t>
            </w:r>
          </w:p>
          <w:p w:rsidR="00CB72ED" w:rsidRPr="00B96B4F" w:rsidRDefault="00E36034" w:rsidP="00E3603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6034">
              <w:rPr>
                <w:rFonts w:asciiTheme="majorHAnsi" w:hAnsiTheme="majorHAnsi" w:cs="Arial"/>
                <w:b/>
                <w:sz w:val="18"/>
                <w:szCs w:val="18"/>
              </w:rPr>
              <w:t>Raspon bodova za konačnu ocjenu iznosi: 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E36034">
              <w:rPr>
                <w:rFonts w:asciiTheme="majorHAnsi" w:hAnsiTheme="majorHAnsi" w:cs="Arial"/>
                <w:b/>
                <w:sz w:val="18"/>
                <w:szCs w:val="18"/>
              </w:rPr>
              <w:t>-64 bod= 6 (šest); 65-74 bod= 7 (sedam); 75-84 bod= 8 (osam); 85-9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E36034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bod= 9 (devet); 9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E36034">
              <w:rPr>
                <w:rFonts w:asciiTheme="majorHAnsi" w:hAnsiTheme="majorHAnsi" w:cs="Arial"/>
                <w:b/>
                <w:sz w:val="18"/>
                <w:szCs w:val="18"/>
              </w:rPr>
              <w:t>-100 bod= 10 (deset)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2164" w:rsidRPr="001E2164" w:rsidRDefault="00D05D23" w:rsidP="001E216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1. Štimac D i sur. </w:t>
            </w:r>
            <w:r w:rsidR="000A19EB">
              <w:rPr>
                <w:rFonts w:asciiTheme="majorHAnsi" w:hAnsiTheme="majorHAnsi" w:cs="Arial"/>
                <w:b/>
                <w:sz w:val="18"/>
                <w:szCs w:val="18"/>
              </w:rPr>
              <w:t xml:space="preserve">(2023) </w:t>
            </w:r>
            <w:r w:rsidR="001E2164" w:rsidRPr="001E2164">
              <w:rPr>
                <w:rFonts w:asciiTheme="majorHAnsi" w:hAnsiTheme="majorHAnsi" w:cs="Arial"/>
                <w:b/>
                <w:sz w:val="18"/>
                <w:szCs w:val="18"/>
              </w:rPr>
              <w:t>Medicina temeljena na dokazima. Zagreb: Medicinska naklada: Hrvatska akademija medicinskih</w:t>
            </w:r>
          </w:p>
          <w:p w:rsidR="000A19EB" w:rsidRDefault="001E2164" w:rsidP="000A19E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E216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znanosti</w:t>
            </w:r>
          </w:p>
          <w:p w:rsidR="00CB72ED" w:rsidRPr="00B96B4F" w:rsidRDefault="00C52EC9" w:rsidP="000A19E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2.</w:t>
            </w:r>
            <w:r w:rsidR="000A19EB" w:rsidRPr="000A19EB">
              <w:rPr>
                <w:rFonts w:asciiTheme="majorHAnsi" w:hAnsiTheme="majorHAnsi" w:cs="Arial"/>
                <w:b/>
                <w:sz w:val="18"/>
                <w:szCs w:val="18"/>
              </w:rPr>
              <w:t xml:space="preserve"> Gavran L</w:t>
            </w:r>
            <w:r w:rsidR="000A19EB">
              <w:rPr>
                <w:rFonts w:asciiTheme="majorHAnsi" w:hAnsiTheme="majorHAnsi" w:cs="Arial"/>
                <w:b/>
                <w:sz w:val="18"/>
                <w:szCs w:val="18"/>
              </w:rPr>
              <w:t xml:space="preserve"> (2020)</w:t>
            </w:r>
            <w:r w:rsidR="000A19EB" w:rsidRPr="000A19EB">
              <w:rPr>
                <w:rFonts w:asciiTheme="majorHAnsi" w:hAnsiTheme="majorHAnsi" w:cs="Arial"/>
                <w:b/>
                <w:sz w:val="18"/>
                <w:szCs w:val="18"/>
              </w:rPr>
              <w:t xml:space="preserve"> Metodologija naučno-istraživačkog rada. </w:t>
            </w:r>
            <w:r w:rsidR="000A19EB">
              <w:rPr>
                <w:rFonts w:asciiTheme="majorHAnsi" w:hAnsiTheme="majorHAnsi" w:cs="Arial"/>
                <w:b/>
                <w:sz w:val="18"/>
                <w:szCs w:val="18"/>
              </w:rPr>
              <w:t xml:space="preserve">Zenica: </w:t>
            </w:r>
            <w:r w:rsidR="000A19EB" w:rsidRPr="000A19EB">
              <w:rPr>
                <w:rFonts w:asciiTheme="majorHAnsi" w:hAnsiTheme="majorHAnsi" w:cs="Arial"/>
                <w:b/>
                <w:sz w:val="18"/>
                <w:szCs w:val="18"/>
              </w:rPr>
              <w:t xml:space="preserve">Univerzitet u Zenici.  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52EC9" w:rsidRDefault="00D05D23" w:rsidP="0071211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12116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712116" w:rsidRPr="00712116">
              <w:rPr>
                <w:rFonts w:asciiTheme="majorHAnsi" w:hAnsiTheme="majorHAnsi" w:cs="Arial"/>
                <w:b/>
                <w:sz w:val="18"/>
                <w:szCs w:val="18"/>
              </w:rPr>
              <w:t>. Nursing Procedures. 4th ed., Lippincot Williams&amp;Wilkins, 2004. Prevod sa engleskog jezika. Beograd 2010.</w:t>
            </w:r>
          </w:p>
          <w:p w:rsidR="00CB72ED" w:rsidRPr="00B96B4F" w:rsidRDefault="00C52EC9" w:rsidP="00C9415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2.</w:t>
            </w:r>
            <w:r w:rsidR="000A19EB" w:rsidRPr="000A19EB">
              <w:rPr>
                <w:rFonts w:asciiTheme="majorHAnsi" w:hAnsiTheme="majorHAnsi" w:cs="Arial"/>
                <w:b/>
                <w:sz w:val="18"/>
                <w:szCs w:val="18"/>
              </w:rPr>
              <w:t xml:space="preserve"> DiCenso A, Guyatt G, Ciliska D. Evidence Based Nursing: A Guide to Clinical Practice. Elsevier Mosby, 2004.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52E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52EC9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F0090A">
              <w:rPr>
                <w:rFonts w:asciiTheme="majorHAnsi" w:hAnsiTheme="majorHAnsi" w:cs="Arial"/>
                <w:b/>
                <w:sz w:val="18"/>
                <w:szCs w:val="18"/>
              </w:rPr>
              <w:t>3.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r w:rsidR="00F0090A">
              <w:rPr>
                <w:rFonts w:asciiTheme="majorHAnsi" w:hAnsiTheme="majorHAnsi" w:cs="Arial"/>
                <w:b/>
                <w:sz w:val="18"/>
                <w:szCs w:val="18"/>
              </w:rPr>
              <w:t>20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0090A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0421C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10421C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0421C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0421C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0421C" w:rsidRPr="0010421C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</w:t>
            </w:r>
            <w:r w:rsidR="0010421C" w:rsidRPr="0010421C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t>.</w:t>
            </w:r>
            <w:bookmarkStart w:id="3" w:name="_GoBack"/>
            <w:bookmarkEnd w:id="3"/>
            <w:r w:rsidRPr="0010421C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85E" w:rsidRDefault="00A2585E">
      <w:pPr>
        <w:spacing w:line="240" w:lineRule="auto"/>
      </w:pPr>
      <w:r>
        <w:separator/>
      </w:r>
    </w:p>
  </w:endnote>
  <w:endnote w:type="continuationSeparator" w:id="0">
    <w:p w:rsidR="00A2585E" w:rsidRDefault="00A2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0421C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96D6D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96D6D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85E" w:rsidRDefault="00A2585E">
      <w:pPr>
        <w:spacing w:after="0"/>
      </w:pPr>
      <w:r>
        <w:separator/>
      </w:r>
    </w:p>
  </w:footnote>
  <w:footnote w:type="continuationSeparator" w:id="0">
    <w:p w:rsidR="00A2585E" w:rsidRDefault="00A25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83953"/>
    <w:rsid w:val="00090948"/>
    <w:rsid w:val="00091671"/>
    <w:rsid w:val="00092101"/>
    <w:rsid w:val="00096D6D"/>
    <w:rsid w:val="000A0FC8"/>
    <w:rsid w:val="000A19EB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21C"/>
    <w:rsid w:val="00104B6E"/>
    <w:rsid w:val="00110FA2"/>
    <w:rsid w:val="00127D3F"/>
    <w:rsid w:val="00141CB0"/>
    <w:rsid w:val="0014427D"/>
    <w:rsid w:val="00144785"/>
    <w:rsid w:val="001448D6"/>
    <w:rsid w:val="001510AC"/>
    <w:rsid w:val="0015668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164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157C"/>
    <w:rsid w:val="004436FD"/>
    <w:rsid w:val="0044558C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00124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E712C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55CA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1211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1BB0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417D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597C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09B9"/>
    <w:rsid w:val="00904035"/>
    <w:rsid w:val="00905625"/>
    <w:rsid w:val="00911F37"/>
    <w:rsid w:val="00914827"/>
    <w:rsid w:val="00922D02"/>
    <w:rsid w:val="00926D19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2585E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3BA5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D3E3D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0EE9"/>
    <w:rsid w:val="00C31D15"/>
    <w:rsid w:val="00C33E3A"/>
    <w:rsid w:val="00C346BA"/>
    <w:rsid w:val="00C34721"/>
    <w:rsid w:val="00C34854"/>
    <w:rsid w:val="00C40CA8"/>
    <w:rsid w:val="00C47AF3"/>
    <w:rsid w:val="00C527F6"/>
    <w:rsid w:val="00C52CEA"/>
    <w:rsid w:val="00C52EC9"/>
    <w:rsid w:val="00C53A44"/>
    <w:rsid w:val="00C5472F"/>
    <w:rsid w:val="00C55AD1"/>
    <w:rsid w:val="00C661AF"/>
    <w:rsid w:val="00C73174"/>
    <w:rsid w:val="00C7743A"/>
    <w:rsid w:val="00C829C1"/>
    <w:rsid w:val="00C84CEC"/>
    <w:rsid w:val="00C8773C"/>
    <w:rsid w:val="00C9415E"/>
    <w:rsid w:val="00C95376"/>
    <w:rsid w:val="00C977A8"/>
    <w:rsid w:val="00CA1E02"/>
    <w:rsid w:val="00CA506A"/>
    <w:rsid w:val="00CA5EF0"/>
    <w:rsid w:val="00CA5F31"/>
    <w:rsid w:val="00CB0032"/>
    <w:rsid w:val="00CB06B9"/>
    <w:rsid w:val="00CB1632"/>
    <w:rsid w:val="00CB42FA"/>
    <w:rsid w:val="00CB72ED"/>
    <w:rsid w:val="00CC4E38"/>
    <w:rsid w:val="00CD2E60"/>
    <w:rsid w:val="00CD73A9"/>
    <w:rsid w:val="00CE1410"/>
    <w:rsid w:val="00CE2A8D"/>
    <w:rsid w:val="00CE6D92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0BD6"/>
    <w:rsid w:val="00D91853"/>
    <w:rsid w:val="00DA1C36"/>
    <w:rsid w:val="00DA3DC5"/>
    <w:rsid w:val="00DA6581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36034"/>
    <w:rsid w:val="00E43E34"/>
    <w:rsid w:val="00E44271"/>
    <w:rsid w:val="00E44BC5"/>
    <w:rsid w:val="00E556A7"/>
    <w:rsid w:val="00E57312"/>
    <w:rsid w:val="00E627C9"/>
    <w:rsid w:val="00E64675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E6AAE"/>
    <w:rsid w:val="00EF5F84"/>
    <w:rsid w:val="00F0090A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1F4B5-538F-4DD4-9E72-8A758BF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3BBD-F753-4DEB-8B04-42902508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10</cp:revision>
  <cp:lastPrinted>2024-03-19T08:24:00Z</cp:lastPrinted>
  <dcterms:created xsi:type="dcterms:W3CDTF">2025-12-01T15:05:00Z</dcterms:created>
  <dcterms:modified xsi:type="dcterms:W3CDTF">2025-12-24T08:52:00Z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