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8171B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 w:cs="Arial"/>
                <w:b/>
                <w:sz w:val="18"/>
                <w:szCs w:val="18"/>
              </w:rPr>
              <w:t>Pedijatrija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F7B9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F7B92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 w:cs="Arial"/>
                <w:b/>
                <w:sz w:val="18"/>
                <w:szCs w:val="18"/>
              </w:rPr>
              <w:t>14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D52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52BC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171B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F962A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F962AC">
              <w:rPr>
                <w:rFonts w:asciiTheme="majorHAnsi" w:hAnsiTheme="majorHAnsi"/>
                <w:b/>
                <w:sz w:val="18"/>
                <w:szCs w:val="18"/>
              </w:rPr>
              <w:t>i10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 w:cs="Arial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171BF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51F4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51F4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962A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4AD2">
              <w:rPr>
                <w:rFonts w:asciiTheme="majorHAnsi" w:hAnsiTheme="majorHAnsi" w:cs="Arial"/>
                <w:b/>
                <w:sz w:val="18"/>
                <w:szCs w:val="18"/>
              </w:rPr>
              <w:t>112.5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51F4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51F4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962A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4AD2">
              <w:rPr>
                <w:rFonts w:asciiTheme="majorHAnsi" w:hAnsiTheme="majorHAnsi" w:cs="Arial"/>
                <w:b/>
                <w:sz w:val="18"/>
                <w:szCs w:val="18"/>
              </w:rPr>
              <w:t>261.5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17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71BF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51F4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51F4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962A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4AD2">
              <w:rPr>
                <w:rFonts w:asciiTheme="majorHAnsi" w:hAnsiTheme="majorHAnsi" w:cs="Arial"/>
                <w:b/>
                <w:sz w:val="18"/>
                <w:szCs w:val="18"/>
              </w:rPr>
              <w:t>374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F7B9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F7B92" w:rsidRPr="009F7B9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F7B9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F7B92">
              <w:rPr>
                <w:rFonts w:asciiTheme="majorHAnsi" w:hAnsiTheme="majorHAnsi" w:cs="Arial"/>
                <w:b/>
                <w:sz w:val="18"/>
                <w:szCs w:val="18"/>
              </w:rPr>
              <w:t>Dr.sc. Selma Muratović,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sticanje osnovnih znanja i vještina iz pedijatrije koja će im omogućiti bolje razumijevanje fiziologije i patologije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dječije dobi; pravilno prikupljanje i interpretacija anamnestičkih podataka; detaljan klinički pregled svih organskih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sistema; sticanje znanja o preventivnim postupcima u pedijatriji; pravilna interpretacija laboratorijskih i drugih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dijagnostičkih postupaka (nalaza).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-procijeniti parametre pravilnog rasta i razvoja djece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ispitati osnovne simptome i uzroke bolesti u dječijoj dobi;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-analizirati anamnestičke, laboratorijske, dijagnostičke, mikrobiološke i epidemiološke nalaze;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identificirati osnovne principe zdravstvene njege zdravog i bolesnog djeteta;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procijeniti značaj preventivnih postupaka u pedijatriji;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izdvojiti i prepoznati značaj prijavljivanja zaraznih bolesti i bolničkih infekcija;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napraviti prijedloge za dijagnozu i terapiju;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izračunavanje pravilne doze aplicirane terapije.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Anamneza, fizikalni status i pregled djeteta; Tumačenje medicinske dokumentacije; Osnovna antropometrijska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mjerenja; Rast i razvoj djeteta, patologija rasta i razvoja; Pubertet i poremećaj polnog sazrijevanja; Nasljedne i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metaboličke bolesti; Poremećaj metabolizma vode, soli i ABS; Izračunavanje dnevnih potreba vode i elektrolita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Nadoknada tečnosti oralnim i parenteralnim putem; Korekcija acidobaznih poremećaja; Ishrana i poremećaji stanja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uhranjenosti; Bolesti novorođenčeta i nedonošćeta; Imunosti imunodeficiencije, alergijske bolesti; Tuberkuloza;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Bolesti respiratornih puteva; Reumatske bolesti i kolageneze, Bolesti srca i krvotoka, Bolesti endokrinog sistema;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Bolesti krvi, Maligne bolesti i tumori; Bolesti gastrointestinalnog sistema i jetre; Bolesti bubrega i mokraćnih puteva;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Bolesti nervnog sistema i mišića; Djeca ometena u razvoju; Bolesti koštanog sistema; Karakteristike farmakoterapije i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liječenja; Kožne bolesti u djece; Trovanja i udesi u dječijoj dobi.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učenja uz aktivno učešće i diskusije studenata;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Praktične vježbe;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grupnog rada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15366" w:rsidRDefault="00D05D23" w:rsidP="0081536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5366">
              <w:rPr>
                <w:rFonts w:asciiTheme="majorHAnsi" w:hAnsiTheme="majorHAnsi" w:cs="Arial"/>
                <w:b/>
                <w:sz w:val="18"/>
                <w:szCs w:val="18"/>
              </w:rPr>
              <w:t xml:space="preserve">Urednost pohađanja nastave i aktivnost na nastavi </w:t>
            </w:r>
            <w:r w:rsidR="00844629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bookmarkStart w:id="3" w:name="_GoBack"/>
            <w:bookmarkEnd w:id="3"/>
            <w:r w:rsidR="00815366">
              <w:rPr>
                <w:rFonts w:asciiTheme="majorHAnsi" w:hAnsiTheme="majorHAnsi" w:cs="Arial"/>
                <w:b/>
                <w:sz w:val="18"/>
                <w:szCs w:val="18"/>
              </w:rPr>
              <w:t>- 10 bodova</w:t>
            </w:r>
          </w:p>
          <w:p w:rsidR="00815366" w:rsidRDefault="00815366" w:rsidP="0081536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Praktični dio ispita u zadnjoj sedmici nastave 22- 40 bodova</w:t>
            </w:r>
          </w:p>
          <w:p w:rsidR="00815366" w:rsidRDefault="00815366" w:rsidP="0081536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Predispitne aktivnosti - 27-50 bodova</w:t>
            </w:r>
          </w:p>
          <w:p w:rsidR="00CB72ED" w:rsidRPr="00B96B4F" w:rsidRDefault="00815366" w:rsidP="0081536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je u usmenoj formi i nosi maksimalno 27- 50 bodova.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4462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78F5" w:rsidRPr="000978F5" w:rsidRDefault="00D05D23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 w:rsidRPr="000978F5">
              <w:rPr>
                <w:rFonts w:asciiTheme="majorHAnsi" w:hAnsiTheme="majorHAnsi" w:cs="Arial"/>
                <w:b/>
                <w:sz w:val="18"/>
                <w:szCs w:val="18"/>
              </w:rPr>
              <w:t>Mardešić, D. (2003). Pedijatrija. Zagreb: Školska knjiga.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Tahirović H., Šećerna bolest dječije i adolescentne dobi. Tuzla: Univerzitet u Tuzli; 2004..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Skokić F., Priručnik iz neonatologije i perinatologije. Tuzla: Printcom; 2005.¸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Čolić-Hadžić B., Juvenilni ankilozantni spondilitis. U: Ankilozantni spondilitis. Kapidžić-Bašić N i suradnici, “OFF-SET”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Štamparija, Tuzla, 2009; (163-179).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Begić H., Digoxin. U: Klinička toksikologija u pedijatriji, Husref F. Tahirović i saradnici. Univerzitet u Tuzli, Medicinski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fakultet. 2002;91-97.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 xml:space="preserve">Skokić F. Perinatalna asfiksija. DOO "EKEPRINT" Gradačac; 2012. </w:t>
            </w:r>
          </w:p>
          <w:p w:rsidR="000978F5" w:rsidRPr="000978F5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>Muratović S. Respiratorni distres sindrom u nedonoščadi. Printcom d.o.o. grafički inženjering Tuzla;2019.</w:t>
            </w:r>
          </w:p>
          <w:p w:rsidR="00CB72ED" w:rsidRPr="00B96B4F" w:rsidRDefault="000978F5" w:rsidP="000978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978F5">
              <w:rPr>
                <w:rFonts w:asciiTheme="majorHAnsi" w:hAnsiTheme="majorHAnsi" w:cs="Arial"/>
                <w:b/>
                <w:sz w:val="18"/>
                <w:szCs w:val="18"/>
              </w:rPr>
              <w:t xml:space="preserve">Prof. dr sc. Fahrija Skokić i saradnici, Pedijatrija i zdravstvena njega u pedijatriji, Izdavač: Printcom d.o.o. grafički inženjering Tuzla, 2022.g.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F2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F279E" w:rsidRPr="000F279E">
              <w:rPr>
                <w:rFonts w:asciiTheme="majorHAnsi" w:hAnsiTheme="majorHAnsi" w:cs="Arial"/>
                <w:b/>
                <w:sz w:val="18"/>
                <w:szCs w:val="18"/>
              </w:rPr>
              <w:t>Kliegman, R. et al. (2001). Nelson Textbook of Pediatrics. Philadelphia: Elsevier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8F5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1D9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0978F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11D9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11D9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11D9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0978F5" w:rsidRPr="00611D9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611D9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611D9C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611D9C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E" w:rsidRDefault="008A360E">
      <w:pPr>
        <w:spacing w:line="240" w:lineRule="auto"/>
      </w:pPr>
      <w:r>
        <w:separator/>
      </w:r>
    </w:p>
  </w:endnote>
  <w:endnote w:type="continuationSeparator" w:id="0">
    <w:p w:rsidR="008A360E" w:rsidRDefault="008A3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44629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4462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44629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E" w:rsidRDefault="008A360E">
      <w:pPr>
        <w:spacing w:after="0"/>
      </w:pPr>
      <w:r>
        <w:separator/>
      </w:r>
    </w:p>
  </w:footnote>
  <w:footnote w:type="continuationSeparator" w:id="0">
    <w:p w:rsidR="008A360E" w:rsidRDefault="008A36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78F5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279E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2E3C"/>
    <w:rsid w:val="003A053B"/>
    <w:rsid w:val="003A7CC0"/>
    <w:rsid w:val="003B7BBD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00D20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1D9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4AD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02B39"/>
    <w:rsid w:val="00810184"/>
    <w:rsid w:val="0081095A"/>
    <w:rsid w:val="008115A9"/>
    <w:rsid w:val="0081362E"/>
    <w:rsid w:val="00815366"/>
    <w:rsid w:val="008171BF"/>
    <w:rsid w:val="008266C8"/>
    <w:rsid w:val="0083131D"/>
    <w:rsid w:val="0083297F"/>
    <w:rsid w:val="00837427"/>
    <w:rsid w:val="00840C7C"/>
    <w:rsid w:val="00844629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60E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1A8F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4577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9F7B92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3487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52BC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1F47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962AC"/>
    <w:rsid w:val="00FA0538"/>
    <w:rsid w:val="00FA0582"/>
    <w:rsid w:val="00FA0ADB"/>
    <w:rsid w:val="00FA17DD"/>
    <w:rsid w:val="00FB48B6"/>
    <w:rsid w:val="00FB7A87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FEC6-5BA9-4462-8409-D20BBCDF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19</cp:revision>
  <cp:lastPrinted>2024-06-04T12:26:00Z</cp:lastPrinted>
  <dcterms:created xsi:type="dcterms:W3CDTF">2024-05-23T07:02:00Z</dcterms:created>
  <dcterms:modified xsi:type="dcterms:W3CDTF">2025-11-11T14:45:00Z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