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6E44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Dijagnostički postupci i metode u internoj medicini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E447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07D9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07D99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07D9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9308E">
              <w:rPr>
                <w:rFonts w:asciiTheme="majorHAnsi" w:hAnsiTheme="majorHAnsi"/>
                <w:b/>
                <w:sz w:val="18"/>
                <w:szCs w:val="18"/>
              </w:rPr>
              <w:t>55.08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6E447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6297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9308E">
              <w:rPr>
                <w:rFonts w:asciiTheme="majorHAnsi" w:hAnsiTheme="majorHAnsi" w:cs="Arial"/>
                <w:b/>
                <w:sz w:val="18"/>
                <w:szCs w:val="18"/>
              </w:rPr>
              <w:t>88.83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E447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dr.sc. Mirela Bašić-Denjagić, docent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77C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>Cilj nastave je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ste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 xml:space="preserve"> da upozna studente sa skupom medicinskih postupaka i metoda koji su opšte prihva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>eni i uobi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>ajeni tokom dijagnosticiranja internisti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>kih oboljenja. Obradom tematskih jedinica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>olakša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ti će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studentima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da u nasatvvku studija 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>kreiraju dijagnostički algoritam u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pristupu i </w:t>
            </w:r>
            <w:r w:rsidR="006E4473">
              <w:rPr>
                <w:rFonts w:asciiTheme="majorHAnsi" w:hAnsiTheme="majorHAnsi" w:cs="Arial"/>
                <w:b/>
                <w:sz w:val="18"/>
                <w:szCs w:val="18"/>
              </w:rPr>
              <w:t xml:space="preserve"> obradi </w:t>
            </w:r>
            <w:r w:rsidR="006E4473" w:rsidRPr="006E447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pacijanata sa internističkim oboljenjem.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77C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sua kontinuirano obavljali svoje obaveze, biti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e osposobljeni da: ovladaju postupcima obrade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metodama koji se koriste u dijagnosticiranju internisti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kih bolesti; razumiju i ovladaju indikcijama z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a primjenu metoda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; razumiju i ovladaju kontraindikacijama zbog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kojih se 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odre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ene metode ne mogu koristiti; diferencijalno dijagnostiŁki obrade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pacijenta sa 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internisti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ku bole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šću.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77C5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Istorija bolesti (anamneza)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Fizikalni pregled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RTG plu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a i srca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Elektrokardiogram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Holter monitoring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Ergometrija (ergotest)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Ehokardiografija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Koronarna arteriografija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Dodatn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e dijagnosti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ke metode u evaluaciji specifi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nih bolesti srca (CT; Magnetna rezonanca; izotopske metode)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Biohemijske i hematološke pretrage od klini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kog zna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aja u internoj medicini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Instrukcije za skupljanje i transport uzoraka za analizu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 pacijentu sa gastrointestinalnim oboljenjem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 pacijentu sa nefrološkim oboljenjem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 pacijentu sa reumatološkim oboljenjem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 pacijentu sa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endokrinim poremećajima, 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Pristup pacijentu sa pulmonalnim oboljenjima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 gerijatrijskom pacijentu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B4D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astavne metode: predavanje i auditorne vježbe.  U auditornim vježbama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e asistenti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na praktičnim primjerima pojasniti  primejnu metoda obrađenih na predavanjima, uz poticanje studenata na diskusiju i kritički pristup problemu.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i aktivnost na n</w:t>
            </w:r>
            <w:r w:rsidR="00EB4DFE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 xml:space="preserve">satvi se boduje sa 5-10bodova.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34C6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znanja koristit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e se sljede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e metode: seminarski rad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(2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-4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b)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završ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ni ispit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(27-50b)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. Nakon analize i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izlaganja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prihva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 xml:space="preserve">enog seminarskog rada pristupa se </w:t>
            </w:r>
            <w:r w:rsidR="00C77C59">
              <w:rPr>
                <w:rFonts w:asciiTheme="majorHAnsi" w:hAnsiTheme="majorHAnsi" w:cs="Arial"/>
                <w:b/>
                <w:sz w:val="18"/>
                <w:szCs w:val="18"/>
              </w:rPr>
              <w:t>završn</w:t>
            </w:r>
            <w:r w:rsidR="00C77C59" w:rsidRPr="00C77C59">
              <w:rPr>
                <w:rFonts w:asciiTheme="majorHAnsi" w:hAnsiTheme="majorHAnsi" w:cs="Arial"/>
                <w:b/>
                <w:sz w:val="18"/>
                <w:szCs w:val="18"/>
              </w:rPr>
              <w:t>om dijelu ispita.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A59E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34C6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34C6F" w:rsidRPr="00B34C6F">
              <w:rPr>
                <w:rFonts w:asciiTheme="majorHAnsi" w:hAnsiTheme="majorHAnsi" w:cs="Arial"/>
                <w:b/>
                <w:sz w:val="18"/>
                <w:szCs w:val="18"/>
              </w:rPr>
              <w:t>Kušljugi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34C6F" w:rsidRPr="00B34C6F">
              <w:rPr>
                <w:rFonts w:asciiTheme="majorHAnsi" w:hAnsiTheme="majorHAnsi" w:cs="Arial"/>
                <w:b/>
                <w:sz w:val="18"/>
                <w:szCs w:val="18"/>
              </w:rPr>
              <w:t xml:space="preserve"> Z, Barakovi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34C6F" w:rsidRPr="00B34C6F">
              <w:rPr>
                <w:rFonts w:asciiTheme="majorHAnsi" w:hAnsiTheme="majorHAnsi" w:cs="Arial"/>
                <w:b/>
                <w:sz w:val="18"/>
                <w:szCs w:val="18"/>
              </w:rPr>
              <w:t xml:space="preserve"> F, Arslanagi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34C6F" w:rsidRPr="00B34C6F">
              <w:rPr>
                <w:rFonts w:asciiTheme="majorHAnsi" w:hAnsiTheme="majorHAnsi" w:cs="Arial"/>
                <w:b/>
                <w:sz w:val="18"/>
                <w:szCs w:val="18"/>
              </w:rPr>
              <w:t xml:space="preserve"> A, Gerc V i sar. Kardiologija, PrintCom, Tuzla 2006. Braunwald E, Fauci A, Kasper D, Hauser S, Longo D, Jameson JL. Harrissons Principles of Internal Medicine. McGrawHill Co, New York 2001.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34C6F">
              <w:rPr>
                <w:rFonts w:asciiTheme="majorHAnsi" w:hAnsiTheme="majorHAnsi" w:cs="Arial"/>
                <w:b/>
                <w:sz w:val="18"/>
                <w:szCs w:val="18"/>
              </w:rPr>
              <w:t>2024/25.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B34C6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9308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34C6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9308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9308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59308E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 </w:t>
            </w:r>
            <w:r w:rsidR="00B34C6F" w:rsidRPr="0059308E">
              <w:rPr>
                <w:rFonts w:asciiTheme="majorHAnsi" w:hAnsiTheme="majorHAnsi" w:cs="Arial"/>
                <w:b/>
                <w:spacing w:val="13"/>
                <w:sz w:val="18"/>
                <w:szCs w:val="18"/>
              </w:rPr>
              <w:t>16.05.2024.</w:t>
            </w:r>
            <w:r w:rsidR="00B34C6F" w:rsidRPr="0059308E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t>g</w:t>
            </w:r>
            <w:r w:rsidRPr="0059308E">
              <w:rPr>
                <w:rFonts w:asciiTheme="majorHAnsi" w:hAnsiTheme="majorHAnsi" w:cs="Arial"/>
                <w:b/>
                <w:spacing w:val="-4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DE" w:rsidRDefault="007B7BDE">
      <w:pPr>
        <w:spacing w:line="240" w:lineRule="auto"/>
      </w:pPr>
      <w:r>
        <w:separator/>
      </w:r>
    </w:p>
  </w:endnote>
  <w:endnote w:type="continuationSeparator" w:id="0">
    <w:p w:rsidR="007B7BDE" w:rsidRDefault="007B7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A59E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A59E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A59E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DE" w:rsidRDefault="007B7BDE">
      <w:pPr>
        <w:spacing w:after="0"/>
      </w:pPr>
      <w:r>
        <w:separator/>
      </w:r>
    </w:p>
  </w:footnote>
  <w:footnote w:type="continuationSeparator" w:id="0">
    <w:p w:rsidR="007B7BDE" w:rsidRDefault="007B7B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B2856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308E"/>
    <w:rsid w:val="00596F9F"/>
    <w:rsid w:val="005975B3"/>
    <w:rsid w:val="005A47F0"/>
    <w:rsid w:val="005A56F4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4473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1B50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59E5"/>
    <w:rsid w:val="007B1416"/>
    <w:rsid w:val="007B7BDE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2976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4C6F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07D99"/>
    <w:rsid w:val="00C10C26"/>
    <w:rsid w:val="00C12629"/>
    <w:rsid w:val="00C27316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77C59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57F5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DFE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2368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F9F5-EA6F-4F79-9426-2BF5DEF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14</cp:revision>
  <cp:lastPrinted>2024-06-04T10:50:00Z</cp:lastPrinted>
  <dcterms:created xsi:type="dcterms:W3CDTF">2024-03-19T09:01:00Z</dcterms:created>
  <dcterms:modified xsi:type="dcterms:W3CDTF">2025-11-11T10:42:00Z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